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920" w:rsidRDefault="00C22920" w:rsidP="00C22920">
      <w:pPr>
        <w:adjustRightInd w:val="0"/>
        <w:snapToGrid w:val="0"/>
        <w:spacing w:line="600" w:lineRule="exact"/>
        <w:ind w:left="1728" w:hangingChars="545" w:hanging="1728"/>
        <w:rPr>
          <w:b/>
          <w:szCs w:val="32"/>
        </w:rPr>
      </w:pPr>
    </w:p>
    <w:p w:rsidR="00C22920" w:rsidRDefault="00C22920" w:rsidP="00C22920">
      <w:pPr>
        <w:adjustRightInd w:val="0"/>
        <w:snapToGrid w:val="0"/>
        <w:spacing w:line="600" w:lineRule="exact"/>
        <w:ind w:left="1728" w:hangingChars="545" w:hanging="1728"/>
        <w:rPr>
          <w:b/>
          <w:szCs w:val="32"/>
        </w:rPr>
      </w:pPr>
    </w:p>
    <w:p w:rsidR="00C22920" w:rsidRDefault="00C22920" w:rsidP="00C22920">
      <w:pPr>
        <w:spacing w:line="660" w:lineRule="exact"/>
        <w:rPr>
          <w:rFonts w:ascii="仿宋_GB2312" w:hAnsi="宋体" w:cs="仿宋_GB2312"/>
          <w:spacing w:val="-8"/>
          <w:szCs w:val="32"/>
        </w:rPr>
      </w:pPr>
    </w:p>
    <w:p w:rsidR="00C22920" w:rsidRDefault="00C22920" w:rsidP="00C22920">
      <w:pPr>
        <w:spacing w:line="600" w:lineRule="exact"/>
        <w:rPr>
          <w:rFonts w:ascii="仿宋_GB2312" w:hAnsi="宋体" w:cs="仿宋_GB2312"/>
          <w:spacing w:val="-8"/>
          <w:szCs w:val="32"/>
        </w:rPr>
      </w:pPr>
    </w:p>
    <w:p w:rsidR="00C22920" w:rsidRDefault="00C22920" w:rsidP="00C22920">
      <w:pPr>
        <w:spacing w:line="600" w:lineRule="exact"/>
        <w:rPr>
          <w:rFonts w:ascii="仿宋_GB2312" w:hAnsi="宋体" w:cs="仿宋_GB2312"/>
          <w:spacing w:val="-8"/>
          <w:szCs w:val="32"/>
        </w:rPr>
      </w:pPr>
    </w:p>
    <w:p w:rsidR="00C22920" w:rsidRDefault="00C22920" w:rsidP="00C22920">
      <w:pPr>
        <w:spacing w:line="600" w:lineRule="exact"/>
        <w:rPr>
          <w:rFonts w:ascii="仿宋_GB2312" w:hAnsi="宋体" w:cs="仿宋_GB2312"/>
          <w:spacing w:val="-8"/>
          <w:szCs w:val="32"/>
        </w:rPr>
      </w:pPr>
    </w:p>
    <w:p w:rsidR="00C22920" w:rsidRDefault="00C22920" w:rsidP="00C22920">
      <w:pPr>
        <w:spacing w:line="600" w:lineRule="exact"/>
        <w:rPr>
          <w:rFonts w:ascii="仿宋_GB2312" w:hAnsi="宋体" w:cs="仿宋_GB2312"/>
          <w:spacing w:val="-8"/>
          <w:szCs w:val="32"/>
        </w:rPr>
      </w:pPr>
    </w:p>
    <w:p w:rsidR="00C22920" w:rsidRDefault="00C22920" w:rsidP="00C22920">
      <w:pPr>
        <w:spacing w:line="600" w:lineRule="exact"/>
        <w:ind w:firstLineChars="100" w:firstLine="300"/>
        <w:rPr>
          <w:rFonts w:ascii="仿宋_GB2312" w:hAnsi="宋体" w:cs="仿宋_GB2312"/>
          <w:spacing w:val="-8"/>
          <w:szCs w:val="32"/>
        </w:rPr>
      </w:pPr>
      <w:r>
        <w:rPr>
          <w:rFonts w:ascii="仿宋_GB2312" w:hAnsi="宋体" w:cs="仿宋_GB2312" w:hint="eastAsia"/>
          <w:spacing w:val="-8"/>
          <w:szCs w:val="32"/>
        </w:rPr>
        <w:t>三人社建提字〔2024〕</w:t>
      </w:r>
      <w:r w:rsidR="00BE701F">
        <w:rPr>
          <w:rFonts w:ascii="仿宋_GB2312" w:hAnsi="宋体" w:cs="仿宋_GB2312" w:hint="eastAsia"/>
          <w:spacing w:val="-8"/>
          <w:szCs w:val="32"/>
        </w:rPr>
        <w:t>11</w:t>
      </w:r>
      <w:r>
        <w:rPr>
          <w:rFonts w:ascii="仿宋_GB2312" w:hAnsi="宋体" w:cs="仿宋_GB2312" w:hint="eastAsia"/>
          <w:spacing w:val="-8"/>
          <w:szCs w:val="32"/>
        </w:rPr>
        <w:t>号　　             签发人：</w:t>
      </w:r>
      <w:r>
        <w:rPr>
          <w:rFonts w:ascii="楷体_GB2312" w:eastAsia="楷体_GB2312" w:hAnsi="宋体" w:cs="楷体_GB2312" w:hint="eastAsia"/>
          <w:spacing w:val="-8"/>
          <w:szCs w:val="32"/>
        </w:rPr>
        <w:t>吕良涛</w:t>
      </w:r>
    </w:p>
    <w:p w:rsidR="00C22920" w:rsidRDefault="00C22920" w:rsidP="00C22920">
      <w:pPr>
        <w:spacing w:line="560" w:lineRule="exact"/>
        <w:rPr>
          <w:rFonts w:ascii="仿宋_GB2312" w:hAnsi="宋体" w:cs="仿宋_GB2312"/>
          <w:spacing w:val="-8"/>
          <w:szCs w:val="32"/>
        </w:rPr>
      </w:pPr>
      <w:r>
        <w:rPr>
          <w:rFonts w:ascii="仿宋_GB2312" w:hAnsi="宋体" w:cs="仿宋_GB2312" w:hint="eastAsia"/>
          <w:spacing w:val="-8"/>
          <w:szCs w:val="32"/>
        </w:rPr>
        <w:t xml:space="preserve">　　　　　　　　　　　　　　　　　        </w:t>
      </w:r>
      <w:r w:rsidR="00BE701F">
        <w:rPr>
          <w:rFonts w:ascii="仿宋_GB2312" w:hAnsi="宋体" w:cs="仿宋_GB2312" w:hint="eastAsia"/>
          <w:spacing w:val="-8"/>
          <w:szCs w:val="32"/>
        </w:rPr>
        <w:t xml:space="preserve"> </w:t>
      </w:r>
      <w:r>
        <w:rPr>
          <w:rFonts w:ascii="仿宋_GB2312" w:hAnsi="宋体" w:cs="仿宋_GB2312" w:hint="eastAsia"/>
          <w:spacing w:val="-8"/>
          <w:szCs w:val="32"/>
        </w:rPr>
        <w:t>办理结果：A</w:t>
      </w:r>
    </w:p>
    <w:p w:rsidR="00C22920" w:rsidRDefault="00C22920" w:rsidP="00C22920">
      <w:pPr>
        <w:spacing w:line="600" w:lineRule="exact"/>
        <w:rPr>
          <w:rFonts w:ascii="仿宋_GB2312" w:hAnsi="宋体" w:cs="仿宋_GB2312"/>
          <w:spacing w:val="-8"/>
          <w:szCs w:val="32"/>
        </w:rPr>
      </w:pPr>
    </w:p>
    <w:p w:rsidR="000A40FE" w:rsidRDefault="0070658B" w:rsidP="00DA0071">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对市政协八届二次会议第1</w:t>
      </w:r>
      <w:r w:rsidR="001B37B3">
        <w:rPr>
          <w:rFonts w:ascii="方正小标宋简体" w:eastAsia="方正小标宋简体" w:hAnsi="方正小标宋简体" w:cs="方正小标宋简体" w:hint="eastAsia"/>
          <w:sz w:val="44"/>
          <w:szCs w:val="44"/>
        </w:rPr>
        <w:t>88</w:t>
      </w:r>
      <w:r>
        <w:rPr>
          <w:rFonts w:ascii="方正小标宋简体" w:eastAsia="方正小标宋简体" w:hAnsi="方正小标宋简体" w:cs="方正小标宋简体" w:hint="eastAsia"/>
          <w:sz w:val="44"/>
          <w:szCs w:val="44"/>
        </w:rPr>
        <w:t>号提案的答复</w:t>
      </w:r>
    </w:p>
    <w:p w:rsidR="000A40FE" w:rsidRDefault="000A40FE" w:rsidP="00DA0071">
      <w:pPr>
        <w:spacing w:line="600" w:lineRule="exact"/>
        <w:ind w:firstLineChars="200" w:firstLine="632"/>
      </w:pPr>
    </w:p>
    <w:p w:rsidR="001B37B3" w:rsidRDefault="001B37B3" w:rsidP="001B37B3">
      <w:pPr>
        <w:spacing w:line="560" w:lineRule="exact"/>
      </w:pPr>
      <w:r>
        <w:rPr>
          <w:rFonts w:hint="eastAsia"/>
        </w:rPr>
        <w:t>尊敬的</w:t>
      </w:r>
      <w:r>
        <w:t>赵铁安、崔琳</w:t>
      </w:r>
      <w:r>
        <w:rPr>
          <w:rFonts w:hint="eastAsia"/>
        </w:rPr>
        <w:t>委员：</w:t>
      </w:r>
      <w:r>
        <w:rPr>
          <w:rFonts w:hint="eastAsia"/>
        </w:rPr>
        <w:t xml:space="preserve"> </w:t>
      </w:r>
    </w:p>
    <w:p w:rsidR="001B37B3" w:rsidRDefault="001B37B3" w:rsidP="001B37B3">
      <w:pPr>
        <w:spacing w:line="560" w:lineRule="exact"/>
        <w:ind w:firstLineChars="200" w:firstLine="632"/>
      </w:pPr>
      <w:r>
        <w:rPr>
          <w:rFonts w:hint="eastAsia"/>
        </w:rPr>
        <w:t>您们提出的“关于</w:t>
      </w:r>
      <w:r>
        <w:t>强化企业技工培养</w:t>
      </w:r>
      <w:r>
        <w:rPr>
          <w:rFonts w:hint="eastAsia"/>
        </w:rPr>
        <w:t>”的提案收悉</w:t>
      </w:r>
      <w:r>
        <w:t>，</w:t>
      </w:r>
      <w:r>
        <w:rPr>
          <w:rFonts w:hint="eastAsia"/>
        </w:rPr>
        <w:t>现答复如下：</w:t>
      </w:r>
      <w:r>
        <w:rPr>
          <w:rFonts w:hint="eastAsia"/>
        </w:rPr>
        <w:t xml:space="preserve"> </w:t>
      </w:r>
    </w:p>
    <w:p w:rsidR="001B37B3" w:rsidRDefault="001B37B3" w:rsidP="001B37B3">
      <w:pPr>
        <w:spacing w:line="560" w:lineRule="exact"/>
        <w:ind w:firstLineChars="200" w:firstLine="632"/>
        <w:textAlignment w:val="baseline"/>
        <w:rPr>
          <w:rFonts w:ascii="仿宋_GB2312" w:hAnsi="Calibri"/>
          <w:color w:val="000000" w:themeColor="text1"/>
          <w:kern w:val="0"/>
          <w:szCs w:val="32"/>
        </w:rPr>
      </w:pPr>
      <w:r>
        <w:rPr>
          <w:rFonts w:ascii="仿宋_GB2312" w:hAnsi="Calibri" w:hint="eastAsia"/>
          <w:color w:val="000000" w:themeColor="text1"/>
          <w:kern w:val="0"/>
          <w:szCs w:val="32"/>
        </w:rPr>
        <w:t>人才是城市创新发展的原动力和主力军，我局历来重视人才培养、引进工作，结合我市实际，坚持服务发展、稳定就业，锚定“两个确保”，抓实“十大战略”，聚焦“13561”工作布局，突出做好“新河文山农”五篇大文章，围绕全市“8+6”产业集群和12条重点产业链发展需求，不断健全人才培养体系、充分调动企业的积极性，发挥企业培训的主力军作用，全力支持企业大规模开展职工技能培训，全面加强技能人才培养、使用、评价、激</w:t>
      </w:r>
      <w:r>
        <w:rPr>
          <w:rFonts w:ascii="仿宋_GB2312" w:hAnsi="Calibri" w:hint="eastAsia"/>
          <w:color w:val="000000" w:themeColor="text1"/>
          <w:kern w:val="0"/>
          <w:szCs w:val="32"/>
        </w:rPr>
        <w:lastRenderedPageBreak/>
        <w:t>励等工作，缓解技能人才短缺，壮大技能人才队伍。</w:t>
      </w:r>
    </w:p>
    <w:p w:rsidR="001B37B3" w:rsidRDefault="001B37B3" w:rsidP="001B37B3">
      <w:pPr>
        <w:spacing w:line="560" w:lineRule="exact"/>
        <w:ind w:firstLineChars="200" w:firstLine="632"/>
        <w:rPr>
          <w:rFonts w:ascii="方正仿宋_GBK" w:eastAsia="方正仿宋_GBK" w:hAnsi="方正仿宋_GBK" w:cs="方正仿宋_GBK"/>
          <w:color w:val="000000" w:themeColor="text1"/>
          <w:szCs w:val="32"/>
        </w:rPr>
      </w:pPr>
      <w:r>
        <w:rPr>
          <w:rFonts w:ascii="黑体" w:eastAsia="黑体" w:hAnsi="黑体" w:cs="方正黑体_GBK" w:hint="eastAsia"/>
          <w:color w:val="000000" w:themeColor="text1"/>
          <w:szCs w:val="32"/>
        </w:rPr>
        <w:t>一、支持企业培养各类技能人才。</w:t>
      </w:r>
      <w:r>
        <w:rPr>
          <w:rFonts w:ascii="仿宋_GB2312" w:hAnsi="Calibri" w:hint="eastAsia"/>
          <w:b/>
          <w:bCs/>
          <w:color w:val="000000" w:themeColor="text1"/>
          <w:kern w:val="0"/>
          <w:szCs w:val="32"/>
        </w:rPr>
        <w:t>一是</w:t>
      </w:r>
      <w:r>
        <w:rPr>
          <w:rFonts w:ascii="仿宋_GB2312" w:hAnsi="Calibri"/>
          <w:color w:val="000000" w:themeColor="text1"/>
          <w:kern w:val="0"/>
          <w:szCs w:val="32"/>
        </w:rPr>
        <w:t>大力开展企业职工技能培训评价工作</w:t>
      </w:r>
      <w:r>
        <w:rPr>
          <w:rFonts w:ascii="仿宋_GB2312" w:hAnsi="Calibri" w:hint="eastAsia"/>
          <w:color w:val="000000" w:themeColor="text1"/>
          <w:kern w:val="0"/>
          <w:szCs w:val="32"/>
        </w:rPr>
        <w:t>。指导全市各类企业结合生产发展实际，落实企业技能人才自主培养、校企合作培养等措施，2024</w:t>
      </w:r>
      <w:r>
        <w:rPr>
          <w:rFonts w:ascii="仿宋_GB2312" w:hAnsi="Calibri"/>
          <w:color w:val="000000" w:themeColor="text1"/>
          <w:kern w:val="0"/>
          <w:szCs w:val="32"/>
        </w:rPr>
        <w:t>年以来，全市</w:t>
      </w:r>
      <w:r>
        <w:rPr>
          <w:rFonts w:ascii="仿宋_GB2312" w:hAnsi="Calibri" w:hint="eastAsia"/>
          <w:color w:val="000000" w:themeColor="text1"/>
          <w:kern w:val="0"/>
          <w:szCs w:val="32"/>
        </w:rPr>
        <w:t>开展</w:t>
      </w:r>
      <w:r>
        <w:rPr>
          <w:rFonts w:ascii="仿宋_GB2312" w:hAnsi="Calibri"/>
          <w:color w:val="000000" w:themeColor="text1"/>
          <w:kern w:val="0"/>
          <w:szCs w:val="32"/>
        </w:rPr>
        <w:t>企业职工</w:t>
      </w:r>
      <w:r>
        <w:rPr>
          <w:rFonts w:ascii="仿宋_GB2312" w:hAnsi="Calibri" w:hint="eastAsia"/>
          <w:color w:val="000000" w:themeColor="text1"/>
          <w:kern w:val="0"/>
          <w:szCs w:val="32"/>
        </w:rPr>
        <w:t>技能</w:t>
      </w:r>
      <w:r>
        <w:rPr>
          <w:rFonts w:ascii="仿宋_GB2312" w:hAnsi="Calibri"/>
          <w:color w:val="000000" w:themeColor="text1"/>
          <w:kern w:val="0"/>
          <w:szCs w:val="32"/>
        </w:rPr>
        <w:t>培训评价</w:t>
      </w:r>
      <w:r>
        <w:rPr>
          <w:rFonts w:ascii="仿宋_GB2312" w:hAnsi="Calibri" w:hint="eastAsia"/>
          <w:color w:val="000000" w:themeColor="text1"/>
          <w:kern w:val="0"/>
          <w:szCs w:val="32"/>
        </w:rPr>
        <w:t>11207人次。</w:t>
      </w:r>
      <w:r>
        <w:rPr>
          <w:rFonts w:ascii="仿宋_GB2312" w:hAnsi="Calibri" w:hint="eastAsia"/>
          <w:b/>
          <w:bCs/>
          <w:color w:val="000000" w:themeColor="text1"/>
          <w:kern w:val="0"/>
          <w:szCs w:val="32"/>
        </w:rPr>
        <w:t>二是</w:t>
      </w:r>
      <w:r>
        <w:rPr>
          <w:rFonts w:ascii="仿宋_GB2312" w:hAnsi="Calibri" w:hint="eastAsia"/>
          <w:color w:val="000000" w:themeColor="text1"/>
          <w:kern w:val="0"/>
          <w:szCs w:val="32"/>
        </w:rPr>
        <w:t>支持企业、院校、职业培训机构承建高技能人才培训基地、技能大师工作室等全民技能振兴工程项目，全民技能振兴工程实施以来我市承建“省级高技能人才培训基地”5个，获得省级奖补资金2300万元，承建“省级技能大师工作室”</w:t>
      </w:r>
      <w:r>
        <w:rPr>
          <w:rFonts w:ascii="仿宋_GB2312" w:hAnsi="Calibri"/>
          <w:color w:val="000000" w:themeColor="text1"/>
          <w:kern w:val="0"/>
          <w:szCs w:val="32"/>
        </w:rPr>
        <w:t>6</w:t>
      </w:r>
      <w:r>
        <w:rPr>
          <w:rFonts w:ascii="仿宋_GB2312" w:hAnsi="Calibri" w:hint="eastAsia"/>
          <w:color w:val="000000" w:themeColor="text1"/>
          <w:kern w:val="0"/>
          <w:szCs w:val="32"/>
        </w:rPr>
        <w:t>个（其中企业承建</w:t>
      </w:r>
      <w:r>
        <w:rPr>
          <w:rFonts w:ascii="仿宋_GB2312" w:hAnsi="Calibri"/>
          <w:color w:val="000000" w:themeColor="text1"/>
          <w:kern w:val="0"/>
          <w:szCs w:val="32"/>
        </w:rPr>
        <w:t>3</w:t>
      </w:r>
      <w:r>
        <w:rPr>
          <w:rFonts w:ascii="仿宋_GB2312" w:hAnsi="Calibri" w:hint="eastAsia"/>
          <w:color w:val="000000" w:themeColor="text1"/>
          <w:kern w:val="0"/>
          <w:szCs w:val="32"/>
        </w:rPr>
        <w:t>个），获得省级奖补资金120万元，项目的实施充分发挥了高技能人才在企业开展关键工艺攻关、技能研习和创新以及技能传承等方面的带头作用。</w:t>
      </w:r>
      <w:r>
        <w:rPr>
          <w:rFonts w:ascii="仿宋_GB2312" w:hAnsi="Calibri" w:hint="eastAsia"/>
          <w:b/>
          <w:bCs/>
          <w:color w:val="000000" w:themeColor="text1"/>
          <w:kern w:val="0"/>
          <w:szCs w:val="32"/>
        </w:rPr>
        <w:t>三是</w:t>
      </w:r>
      <w:r>
        <w:rPr>
          <w:rFonts w:ascii="仿宋_GB2312" w:hAnsi="Calibri" w:hint="eastAsia"/>
          <w:color w:val="000000" w:themeColor="text1"/>
          <w:kern w:val="0"/>
          <w:szCs w:val="32"/>
        </w:rPr>
        <w:t>积极推进产教融合、校企合作。结合我市产业发展和技工院校实际，制定下发了《关于推进技工院校产教融合的通知》（三人社职建〔2020〕7号），从专业体系、合作途径、师资队伍建设、生产性实习实训、创新合作方式等方面进行了明确，有力推进了产教融合、校企合作的工作，</w:t>
      </w:r>
      <w:r>
        <w:rPr>
          <w:rFonts w:ascii="仿宋_GB2312" w:hAnsi="Calibri"/>
          <w:color w:val="000000" w:themeColor="text1"/>
          <w:kern w:val="0"/>
          <w:szCs w:val="32"/>
        </w:rPr>
        <w:t>截至目前</w:t>
      </w:r>
      <w:r>
        <w:rPr>
          <w:rFonts w:ascii="仿宋_GB2312" w:hAnsi="Calibri" w:hint="eastAsia"/>
          <w:color w:val="000000" w:themeColor="text1"/>
          <w:kern w:val="0"/>
          <w:szCs w:val="32"/>
        </w:rPr>
        <w:t>，全市技工院校与</w:t>
      </w:r>
      <w:r>
        <w:rPr>
          <w:rFonts w:ascii="仿宋_GB2312" w:hAnsi="Calibri"/>
          <w:color w:val="000000" w:themeColor="text1"/>
          <w:kern w:val="0"/>
          <w:szCs w:val="32"/>
        </w:rPr>
        <w:t>36</w:t>
      </w:r>
      <w:r>
        <w:rPr>
          <w:rFonts w:ascii="仿宋_GB2312" w:hAnsi="Calibri" w:hint="eastAsia"/>
          <w:color w:val="000000" w:themeColor="text1"/>
          <w:kern w:val="0"/>
          <w:szCs w:val="32"/>
        </w:rPr>
        <w:t>家企业开展校企合作，在电子商务、新能源汽车检测与维修、焊接、数控、叉车等20多个专业培养技能人才1290人、高技能人才915人，打通了院校和企业联合培养技能人才的通道。全面推行企业新型学徒制培训，2019年以来</w:t>
      </w:r>
      <w:r>
        <w:rPr>
          <w:rFonts w:ascii="仿宋_GB2312" w:hAnsi="Calibri"/>
          <w:color w:val="000000" w:themeColor="text1"/>
          <w:kern w:val="0"/>
          <w:szCs w:val="32"/>
        </w:rPr>
        <w:t>开展</w:t>
      </w:r>
      <w:r>
        <w:rPr>
          <w:rFonts w:ascii="仿宋_GB2312" w:hAnsi="Calibri" w:hint="eastAsia"/>
          <w:color w:val="000000" w:themeColor="text1"/>
          <w:kern w:val="0"/>
          <w:szCs w:val="32"/>
        </w:rPr>
        <w:t>企业</w:t>
      </w:r>
      <w:r>
        <w:rPr>
          <w:rFonts w:ascii="仿宋_GB2312" w:hAnsi="Calibri"/>
          <w:color w:val="000000" w:themeColor="text1"/>
          <w:kern w:val="0"/>
          <w:szCs w:val="32"/>
        </w:rPr>
        <w:t>新型学徒制培训</w:t>
      </w:r>
      <w:r>
        <w:rPr>
          <w:rFonts w:ascii="仿宋_GB2312" w:hAnsi="Calibri" w:hint="eastAsia"/>
          <w:color w:val="000000" w:themeColor="text1"/>
          <w:kern w:val="0"/>
          <w:szCs w:val="32"/>
        </w:rPr>
        <w:t>4859人，通过“校企双制、工学一体”的新型学徒制培养模式，实现企业与技工院校“专业共建、人才共育、风险共担、成果共享、发展共赢”的目的，真正呈现出学校教育与企业培养相互融</w:t>
      </w:r>
      <w:r>
        <w:rPr>
          <w:rFonts w:ascii="仿宋_GB2312" w:hAnsi="Calibri" w:hint="eastAsia"/>
          <w:color w:val="000000" w:themeColor="text1"/>
          <w:kern w:val="0"/>
          <w:szCs w:val="32"/>
        </w:rPr>
        <w:lastRenderedPageBreak/>
        <w:t>通的新局面。</w:t>
      </w:r>
    </w:p>
    <w:p w:rsidR="001B37B3" w:rsidRDefault="001B37B3" w:rsidP="001B37B3">
      <w:pPr>
        <w:spacing w:line="560" w:lineRule="exact"/>
        <w:ind w:firstLineChars="200" w:firstLine="632"/>
        <w:rPr>
          <w:rFonts w:ascii="仿宋_GB2312" w:hAnsi="Calibri"/>
          <w:color w:val="000000" w:themeColor="text1"/>
          <w:kern w:val="0"/>
          <w:szCs w:val="32"/>
          <w:highlight w:val="yellow"/>
        </w:rPr>
      </w:pPr>
      <w:r>
        <w:rPr>
          <w:rFonts w:ascii="黑体" w:eastAsia="黑体" w:hAnsi="黑体" w:cs="方正黑体_GBK" w:hint="eastAsia"/>
          <w:color w:val="000000" w:themeColor="text1"/>
          <w:szCs w:val="32"/>
        </w:rPr>
        <w:t>二、为企业引进技能人才搭建平台。</w:t>
      </w:r>
      <w:r>
        <w:rPr>
          <w:rFonts w:ascii="仿宋_GB2312" w:hAnsi="Calibri" w:hint="eastAsia"/>
          <w:color w:val="000000" w:themeColor="text1"/>
          <w:kern w:val="0"/>
          <w:szCs w:val="32"/>
        </w:rPr>
        <w:t>近年来，为持续巩固提升覆盖全民、贯穿全程、辐射全域、便捷高效的全方位公共就业服务，</w:t>
      </w:r>
      <w:r>
        <w:rPr>
          <w:rFonts w:ascii="仿宋_GB2312" w:hAnsi="Calibri" w:hint="eastAsia"/>
          <w:b/>
          <w:bCs/>
          <w:color w:val="000000" w:themeColor="text1"/>
          <w:kern w:val="0"/>
          <w:szCs w:val="32"/>
        </w:rPr>
        <w:t>一是</w:t>
      </w:r>
      <w:r>
        <w:rPr>
          <w:rFonts w:ascii="仿宋_GB2312" w:hAnsi="Calibri" w:hint="eastAsia"/>
          <w:color w:val="000000" w:themeColor="text1"/>
          <w:kern w:val="0"/>
          <w:szCs w:val="32"/>
        </w:rPr>
        <w:t>先后制定印发《全市人社系统深化企业用工专项行动方案》、《三门峡市提升就业服务质量工程实施方案》等系列文件，着力提升全方位公共就业服务质量，有效解决企业用工中遇到的各类问题。</w:t>
      </w:r>
      <w:r>
        <w:rPr>
          <w:rFonts w:ascii="仿宋_GB2312" w:hAnsi="Calibri" w:hint="eastAsia"/>
          <w:b/>
          <w:bCs/>
          <w:color w:val="000000" w:themeColor="text1"/>
          <w:kern w:val="0"/>
          <w:szCs w:val="32"/>
        </w:rPr>
        <w:t>二是</w:t>
      </w:r>
      <w:r>
        <w:rPr>
          <w:rFonts w:ascii="仿宋_GB2312" w:hAnsi="Calibri" w:hint="eastAsia"/>
          <w:color w:val="000000" w:themeColor="text1"/>
          <w:kern w:val="0"/>
          <w:szCs w:val="32"/>
        </w:rPr>
        <w:t>积极开展“11+N”公共就业服务系列专项活动，努力打造就业援助月、春风行动、企业招聘月和金秋招聘月等公共就业服务品牌，为企业和求职者搭建对接平台，年初以来，</w:t>
      </w:r>
      <w:r>
        <w:rPr>
          <w:rFonts w:ascii="仿宋_GB2312" w:hAnsi="Calibri"/>
          <w:color w:val="000000" w:themeColor="text1"/>
          <w:kern w:val="0"/>
          <w:szCs w:val="32"/>
        </w:rPr>
        <w:t>市本级</w:t>
      </w:r>
      <w:r>
        <w:rPr>
          <w:rFonts w:ascii="仿宋_GB2312" w:hAnsi="Calibri" w:hint="eastAsia"/>
          <w:color w:val="000000" w:themeColor="text1"/>
          <w:kern w:val="0"/>
          <w:szCs w:val="32"/>
        </w:rPr>
        <w:t>组织</w:t>
      </w:r>
      <w:r>
        <w:rPr>
          <w:rFonts w:ascii="仿宋_GB2312" w:hAnsi="Calibri"/>
          <w:color w:val="000000" w:themeColor="text1"/>
          <w:kern w:val="0"/>
          <w:szCs w:val="32"/>
        </w:rPr>
        <w:t>现场</w:t>
      </w:r>
      <w:r>
        <w:rPr>
          <w:rFonts w:ascii="仿宋_GB2312" w:hAnsi="Calibri" w:hint="eastAsia"/>
          <w:color w:val="000000" w:themeColor="text1"/>
          <w:kern w:val="0"/>
          <w:szCs w:val="32"/>
        </w:rPr>
        <w:t>招聘会</w:t>
      </w:r>
      <w:r>
        <w:rPr>
          <w:rFonts w:ascii="仿宋_GB2312" w:hAnsi="Calibri"/>
          <w:color w:val="000000" w:themeColor="text1"/>
          <w:kern w:val="0"/>
          <w:szCs w:val="32"/>
        </w:rPr>
        <w:t>3</w:t>
      </w:r>
      <w:r>
        <w:rPr>
          <w:rFonts w:ascii="仿宋_GB2312" w:hAnsi="Calibri" w:hint="eastAsia"/>
          <w:color w:val="000000" w:themeColor="text1"/>
          <w:kern w:val="0"/>
          <w:szCs w:val="32"/>
        </w:rPr>
        <w:t>场，参加企业累计</w:t>
      </w:r>
      <w:r>
        <w:rPr>
          <w:rFonts w:ascii="仿宋_GB2312" w:hAnsi="Calibri"/>
          <w:color w:val="000000" w:themeColor="text1"/>
          <w:kern w:val="0"/>
          <w:szCs w:val="32"/>
        </w:rPr>
        <w:t>164</w:t>
      </w:r>
      <w:r>
        <w:rPr>
          <w:rFonts w:ascii="仿宋_GB2312" w:hAnsi="Calibri" w:hint="eastAsia"/>
          <w:color w:val="000000" w:themeColor="text1"/>
          <w:kern w:val="0"/>
          <w:szCs w:val="32"/>
        </w:rPr>
        <w:t>家，提供就业岗位</w:t>
      </w:r>
      <w:r>
        <w:rPr>
          <w:rFonts w:ascii="仿宋_GB2312" w:hAnsi="Calibri"/>
          <w:color w:val="000000" w:themeColor="text1"/>
          <w:kern w:val="0"/>
          <w:szCs w:val="32"/>
        </w:rPr>
        <w:t>9516</w:t>
      </w:r>
      <w:r>
        <w:rPr>
          <w:rFonts w:ascii="仿宋_GB2312" w:hAnsi="Calibri" w:hint="eastAsia"/>
          <w:color w:val="000000" w:themeColor="text1"/>
          <w:kern w:val="0"/>
          <w:szCs w:val="32"/>
        </w:rPr>
        <w:t>万个，达成就业意向</w:t>
      </w:r>
      <w:r>
        <w:rPr>
          <w:rFonts w:ascii="仿宋_GB2312" w:hAnsi="Calibri"/>
          <w:color w:val="000000" w:themeColor="text1"/>
          <w:kern w:val="0"/>
          <w:szCs w:val="32"/>
        </w:rPr>
        <w:t>4300余</w:t>
      </w:r>
      <w:r>
        <w:rPr>
          <w:rFonts w:ascii="仿宋_GB2312" w:hAnsi="Calibri" w:hint="eastAsia"/>
          <w:color w:val="000000" w:themeColor="text1"/>
          <w:kern w:val="0"/>
          <w:szCs w:val="32"/>
        </w:rPr>
        <w:t>人。</w:t>
      </w:r>
      <w:r>
        <w:rPr>
          <w:rFonts w:ascii="仿宋_GB2312" w:hAnsi="Calibri" w:hint="eastAsia"/>
          <w:b/>
          <w:bCs/>
          <w:color w:val="000000" w:themeColor="text1"/>
          <w:kern w:val="0"/>
          <w:szCs w:val="32"/>
        </w:rPr>
        <w:t>三是</w:t>
      </w:r>
      <w:r>
        <w:rPr>
          <w:rFonts w:ascii="仿宋_GB2312" w:hAnsi="Calibri" w:hint="eastAsia"/>
          <w:color w:val="000000" w:themeColor="text1"/>
          <w:kern w:val="0"/>
          <w:szCs w:val="32"/>
        </w:rPr>
        <w:t>积极配合市委组织部做好招才引智工作，2019年首届“中国·河南招才引智创新发展大会”举办以来，我局作为市高层次技能人才引进工作成员单位，积极组织动员企事业单位参加，并将市委、市政府近年来先后出台的《中共三门峡市委三门峡市人民政府关于大力引进高层次创新创业人才(团队)的若干意见（试行》、《三门峡市引进高层次创新创业人才(团队)实施办法（暂行）》、《三门峡市高层次创新创业人才(团队)项目扶持办法（暂行）》、《三门峡市人才平台扶持资助办法（暂行）》等“1+8”人才政策体系文件宣传到企事业单位，人才政策涵盖项目资助、奖励补贴、住房安居、医疗保障、家属安置、子女入学等方面，助力企事业单位引进核心高层次技能人才。</w:t>
      </w:r>
    </w:p>
    <w:p w:rsidR="001B37B3" w:rsidRDefault="001B37B3" w:rsidP="001B37B3">
      <w:pPr>
        <w:spacing w:line="560" w:lineRule="exact"/>
        <w:ind w:firstLineChars="200" w:firstLine="632"/>
        <w:textAlignment w:val="baseline"/>
        <w:rPr>
          <w:rFonts w:ascii="仿宋_GB2312" w:hAnsi="仿宋_GB2312" w:cs="仿宋_GB2312"/>
          <w:color w:val="000000" w:themeColor="text1"/>
          <w:szCs w:val="32"/>
        </w:rPr>
      </w:pPr>
      <w:r>
        <w:rPr>
          <w:rFonts w:ascii="黑体" w:eastAsia="黑体" w:hAnsi="黑体" w:cs="方正黑体_GBK" w:hint="eastAsia"/>
          <w:color w:val="000000" w:themeColor="text1"/>
          <w:szCs w:val="32"/>
        </w:rPr>
        <w:t>三、积极组织开展职业技能竞赛。</w:t>
      </w:r>
      <w:r>
        <w:rPr>
          <w:rFonts w:ascii="仿宋_GB2312" w:hAnsi="仿宋_GB2312" w:cs="仿宋_GB2312" w:hint="eastAsia"/>
          <w:color w:val="000000" w:themeColor="text1"/>
          <w:szCs w:val="32"/>
          <w:shd w:val="clear" w:color="auto" w:fill="FFFFFF"/>
        </w:rPr>
        <w:t>职业技能竞赛是培养、选</w:t>
      </w:r>
      <w:r>
        <w:rPr>
          <w:rFonts w:ascii="仿宋_GB2312" w:hAnsi="仿宋_GB2312" w:cs="仿宋_GB2312" w:hint="eastAsia"/>
          <w:color w:val="000000" w:themeColor="text1"/>
          <w:szCs w:val="32"/>
          <w:shd w:val="clear" w:color="auto" w:fill="FFFFFF"/>
        </w:rPr>
        <w:lastRenderedPageBreak/>
        <w:t>拔、评价优秀技能人才的有效途径，是激励员工努力钻研业务、提高技能水平的重要手段。历年来我局大力支持企业优秀技能人才积极参加省赛</w:t>
      </w:r>
      <w:r>
        <w:rPr>
          <w:rFonts w:ascii="仿宋_GB2312" w:hAnsi="仿宋_GB2312" w:cs="仿宋_GB2312"/>
          <w:color w:val="000000" w:themeColor="text1"/>
          <w:szCs w:val="32"/>
          <w:shd w:val="clear" w:color="auto" w:fill="FFFFFF"/>
        </w:rPr>
        <w:t>、</w:t>
      </w:r>
      <w:r>
        <w:rPr>
          <w:rFonts w:ascii="仿宋_GB2312" w:hAnsi="仿宋_GB2312" w:cs="仿宋_GB2312" w:hint="eastAsia"/>
          <w:color w:val="000000" w:themeColor="text1"/>
          <w:szCs w:val="32"/>
          <w:shd w:val="clear" w:color="auto" w:fill="FFFFFF"/>
        </w:rPr>
        <w:t>国赛</w:t>
      </w:r>
      <w:r>
        <w:rPr>
          <w:rFonts w:ascii="仿宋_GB2312" w:hAnsi="仿宋_GB2312" w:cs="仿宋_GB2312"/>
          <w:color w:val="000000" w:themeColor="text1"/>
          <w:szCs w:val="32"/>
          <w:shd w:val="clear" w:color="auto" w:fill="FFFFFF"/>
        </w:rPr>
        <w:t>、</w:t>
      </w:r>
      <w:r>
        <w:rPr>
          <w:rFonts w:ascii="仿宋_GB2312" w:hAnsi="仿宋_GB2312" w:cs="仿宋_GB2312" w:hint="eastAsia"/>
          <w:color w:val="000000" w:themeColor="text1"/>
          <w:szCs w:val="32"/>
          <w:shd w:val="clear" w:color="auto" w:fill="FFFFFF"/>
        </w:rPr>
        <w:t>世赛等高标准职业技能竞赛活动，鼓励各级各部门举办行业职业技能竞赛，通过开展形式多样的技能竞赛活动，有效提升企业职工的知识技能和实际操作水平，</w:t>
      </w:r>
      <w:r>
        <w:rPr>
          <w:rFonts w:ascii="仿宋_GB2312" w:hAnsi="仿宋_GB2312" w:cs="仿宋_GB2312" w:hint="eastAsia"/>
          <w:color w:val="000000" w:themeColor="text1"/>
          <w:szCs w:val="32"/>
        </w:rPr>
        <w:t>为企业的发展培养和造就一支高素质的技能人才队伍</w:t>
      </w:r>
      <w:r>
        <w:rPr>
          <w:rFonts w:ascii="仿宋_GB2312" w:hAnsi="仿宋_GB2312" w:cs="仿宋_GB2312" w:hint="eastAsia"/>
          <w:color w:val="000000" w:themeColor="text1"/>
          <w:szCs w:val="32"/>
          <w:shd w:val="clear" w:color="auto" w:fill="FFFFFF"/>
        </w:rPr>
        <w:t>。2022年6月</w:t>
      </w:r>
      <w:r>
        <w:rPr>
          <w:rFonts w:ascii="仿宋_GB2312" w:hAnsi="仿宋_GB2312" w:cs="仿宋_GB2312" w:hint="eastAsia"/>
          <w:color w:val="000000" w:themeColor="text1"/>
          <w:szCs w:val="32"/>
        </w:rPr>
        <w:t>“河南省第一届职业技能大赛”</w:t>
      </w:r>
      <w:r>
        <w:rPr>
          <w:rFonts w:ascii="仿宋_GB2312" w:hAnsi="仿宋_GB2312" w:cs="仿宋_GB2312" w:hint="eastAsia"/>
          <w:color w:val="000000" w:themeColor="text1"/>
          <w:szCs w:val="32"/>
          <w:shd w:val="clear" w:color="auto" w:fill="FFFFFF"/>
        </w:rPr>
        <w:t>，我市</w:t>
      </w:r>
      <w:r>
        <w:rPr>
          <w:rFonts w:ascii="仿宋_GB2312" w:hAnsi="仿宋_GB2312" w:cs="仿宋_GB2312"/>
          <w:color w:val="000000" w:themeColor="text1"/>
          <w:szCs w:val="32"/>
        </w:rPr>
        <w:t>组织</w:t>
      </w:r>
      <w:r>
        <w:rPr>
          <w:rFonts w:ascii="仿宋_GB2312" w:hAnsi="仿宋_GB2312" w:cs="仿宋_GB2312" w:hint="eastAsia"/>
          <w:color w:val="000000" w:themeColor="text1"/>
          <w:szCs w:val="32"/>
        </w:rPr>
        <w:t>35名选手（</w:t>
      </w:r>
      <w:r>
        <w:rPr>
          <w:rFonts w:ascii="仿宋_GB2312" w:hAnsi="仿宋_GB2312" w:cs="仿宋_GB2312"/>
          <w:color w:val="000000" w:themeColor="text1"/>
          <w:szCs w:val="32"/>
        </w:rPr>
        <w:t>其</w:t>
      </w:r>
      <w:r>
        <w:rPr>
          <w:rFonts w:ascii="仿宋_GB2312" w:hAnsi="仿宋_GB2312" w:cs="仿宋_GB2312" w:hint="eastAsia"/>
          <w:color w:val="000000" w:themeColor="text1"/>
          <w:szCs w:val="32"/>
        </w:rPr>
        <w:t>企业15名）参加25个比赛项目，获得优胜奖18个（</w:t>
      </w:r>
      <w:r>
        <w:rPr>
          <w:rFonts w:ascii="仿宋_GB2312" w:hAnsi="仿宋_GB2312" w:cs="仿宋_GB2312"/>
          <w:color w:val="000000" w:themeColor="text1"/>
          <w:szCs w:val="32"/>
        </w:rPr>
        <w:t>其中</w:t>
      </w:r>
      <w:r>
        <w:rPr>
          <w:rFonts w:ascii="仿宋_GB2312" w:hAnsi="仿宋_GB2312" w:cs="仿宋_GB2312" w:hint="eastAsia"/>
          <w:color w:val="000000" w:themeColor="text1"/>
          <w:szCs w:val="32"/>
        </w:rPr>
        <w:t>企业获奖7个）</w:t>
      </w:r>
      <w:r>
        <w:rPr>
          <w:rFonts w:ascii="仿宋_GB2312" w:hAnsi="仿宋_GB2312" w:cs="仿宋_GB2312"/>
          <w:color w:val="000000" w:themeColor="text1"/>
          <w:szCs w:val="32"/>
        </w:rPr>
        <w:t>。</w:t>
      </w:r>
      <w:r>
        <w:rPr>
          <w:rFonts w:ascii="仿宋_GB2312" w:hAnsi="仿宋_GB2312" w:cs="仿宋_GB2312" w:hint="eastAsia"/>
          <w:color w:val="000000" w:themeColor="text1"/>
          <w:szCs w:val="32"/>
          <w:shd w:val="clear" w:color="auto" w:fill="FFFFFF"/>
        </w:rPr>
        <w:t>2023年4月份</w:t>
      </w:r>
      <w:r>
        <w:rPr>
          <w:rFonts w:ascii="仿宋_GB2312" w:hAnsi="仿宋_GB2312" w:cs="仿宋_GB2312" w:hint="eastAsia"/>
          <w:color w:val="000000" w:themeColor="text1"/>
          <w:szCs w:val="32"/>
        </w:rPr>
        <w:t>“河南省第二届职业技能大赛”，我市通过层层推荐选拔，组织74名选手（其中企业10名）参加42个项目比赛角逐，获得优胜奖14个（其中企业1个），参加表演赛10个省辖市，我市获得第四名的好成绩也来自企业。职业技能竞赛示范、引领、带动作用的显现，进一步激发广大企业职工学习技能、钻研技术的热情，营造了“尊重劳动、尊重创新、尊重技能、尊重人才”的良好氛围。</w:t>
      </w:r>
    </w:p>
    <w:p w:rsidR="001B37B3" w:rsidRDefault="001B37B3" w:rsidP="001B37B3">
      <w:pPr>
        <w:spacing w:line="560" w:lineRule="exact"/>
        <w:ind w:firstLineChars="200" w:firstLine="632"/>
        <w:textAlignment w:val="baseline"/>
        <w:rPr>
          <w:rFonts w:ascii="仿宋_GB2312" w:hAnsi="Calibri"/>
          <w:color w:val="000000" w:themeColor="text1"/>
          <w:kern w:val="0"/>
          <w:szCs w:val="32"/>
        </w:rPr>
      </w:pPr>
      <w:r>
        <w:rPr>
          <w:rFonts w:ascii="黑体" w:eastAsia="黑体" w:hAnsi="黑体" w:cs="方正黑体_GBK" w:hint="eastAsia"/>
          <w:color w:val="000000" w:themeColor="text1"/>
          <w:szCs w:val="32"/>
        </w:rPr>
        <w:t>四、建立健全技能人才激励机制。</w:t>
      </w:r>
      <w:r>
        <w:rPr>
          <w:rFonts w:ascii="仿宋_GB2312" w:hAnsi="Calibri" w:hint="eastAsia"/>
          <w:color w:val="000000" w:themeColor="text1"/>
          <w:kern w:val="0"/>
          <w:szCs w:val="32"/>
        </w:rPr>
        <w:t>着力提高企业技能人才的薪酬待遇，协调发改、工信、国资委、工会等部门，在技能人才工资分配上指导用人单位按照《人力资源社会保障部办公厅关于印发〈技能人才薪酬分配指引〉的通知》（人社厅发〔2021〕7号）有关规定，充分考虑技术技能的因素，逐步提高技能人才的薪酬待遇，有效调动技能人才工作积极性。做好技能人才评先表彰工作，我市每两年组织一届“三门峡市技术能手”评选活动，评选比例重点向企业一线技能人才倾斜，对获得“三门峡市技术</w:t>
      </w:r>
      <w:r>
        <w:rPr>
          <w:rFonts w:ascii="仿宋_GB2312" w:hAnsi="Calibri" w:hint="eastAsia"/>
          <w:color w:val="000000" w:themeColor="text1"/>
          <w:kern w:val="0"/>
          <w:szCs w:val="32"/>
        </w:rPr>
        <w:lastRenderedPageBreak/>
        <w:t>能手”荣誉称号的给予每人3000元奖励，对在企业技术岗位上做出积极贡献、取得良好经济效益的优秀技能人才，积极推荐参加“河南省技术能手”“全国技术能手”“中华技能大奖”评选。对获得“河南省技术能手”“全国技术能手”“中华技能大奖”的高技能人才积极推荐享受政府特殊津贴。截至目前，全市获得“全国技术能手”2人（企业职工）、获得“中原技能大奖”2人（企业职工）、获得“河南省技术能手”荣誉称号的45人（其中企业职工34人）、获得“三门峡市技术能手”荣誉称号的248人（其中企业职工193人）、获得“国务院特殊津贴”的39人（其中企业职工28人）、获得“省政府特殊津贴”的9人（其中企业职工4人）。</w:t>
      </w:r>
    </w:p>
    <w:p w:rsidR="001B37B3" w:rsidRDefault="001B37B3" w:rsidP="001B37B3">
      <w:pPr>
        <w:pStyle w:val="a6"/>
        <w:spacing w:line="560" w:lineRule="exact"/>
        <w:ind w:firstLineChars="200" w:firstLine="632"/>
        <w:rPr>
          <w:rFonts w:ascii="仿宋_GB2312" w:eastAsia="仿宋_GB2312" w:hAnsi="Calibri"/>
          <w:color w:val="000000" w:themeColor="text1"/>
          <w:kern w:val="0"/>
          <w:sz w:val="32"/>
          <w:szCs w:val="32"/>
        </w:rPr>
      </w:pPr>
      <w:r>
        <w:rPr>
          <w:rFonts w:ascii="黑体" w:eastAsia="黑体" w:hAnsi="黑体" w:cs="方正黑体_GBK" w:hint="eastAsia"/>
          <w:color w:val="000000" w:themeColor="text1"/>
          <w:sz w:val="32"/>
          <w:szCs w:val="32"/>
        </w:rPr>
        <w:t>五、畅通技能人才与专业技术人才发展新渠道。</w:t>
      </w:r>
      <w:r>
        <w:rPr>
          <w:rFonts w:ascii="仿宋_GB2312" w:eastAsia="仿宋_GB2312" w:hAnsi="Calibri" w:hint="eastAsia"/>
          <w:color w:val="000000" w:themeColor="text1"/>
          <w:kern w:val="0"/>
          <w:sz w:val="32"/>
          <w:szCs w:val="32"/>
        </w:rPr>
        <w:t>近年来我省下发了《河南省人力资源和社会保障厅关于贯通技能人才与专业技术人才发展通道有关问题的通知》（豫人社〔2017〕100号）、《河南省人力资源和社会保障厅关于进一步贯通技能人才与专业技术人才职业发展通道有关问题的通知》（豫人社规 〔2021〕1号）文件，进一步打通技能人才与专业技术人才职业发展通道，加强创新型、应用型、技能型人才培养，从事工程、农业、工艺美术、文物博物、实验技术、艺术、体育、技工院校教师等领域工作的技能人才和专业技术人才可互通申报。其他系列中有一定技术含量的高技能人才也可申报职称评审。同时，支持技能人才取得经济、会计、统计、审计、翻译、出版、通信、计算机技术与软件等专业技术人员职业资格，最大限度释放和激发技能人才</w:t>
      </w:r>
      <w:r>
        <w:rPr>
          <w:rFonts w:ascii="仿宋_GB2312" w:eastAsia="仿宋_GB2312" w:hAnsi="Calibri" w:hint="eastAsia"/>
          <w:color w:val="000000" w:themeColor="text1"/>
          <w:kern w:val="0"/>
          <w:sz w:val="32"/>
          <w:szCs w:val="32"/>
        </w:rPr>
        <w:lastRenderedPageBreak/>
        <w:t>和专业技术人才创新创造创业活力。</w:t>
      </w:r>
      <w:r>
        <w:rPr>
          <w:rFonts w:ascii="仿宋_GB2312" w:eastAsia="仿宋_GB2312" w:hAnsi="Calibri"/>
          <w:color w:val="000000" w:themeColor="text1"/>
          <w:kern w:val="0"/>
          <w:sz w:val="32"/>
          <w:szCs w:val="32"/>
        </w:rPr>
        <w:t>2022年以来已有9名企业技能人才</w:t>
      </w:r>
      <w:r>
        <w:rPr>
          <w:rFonts w:ascii="仿宋_GB2312" w:eastAsia="仿宋_GB2312" w:hAnsi="Calibri" w:hint="eastAsia"/>
          <w:color w:val="000000" w:themeColor="text1"/>
          <w:kern w:val="0"/>
          <w:sz w:val="32"/>
          <w:szCs w:val="32"/>
        </w:rPr>
        <w:t>取得</w:t>
      </w:r>
      <w:r>
        <w:rPr>
          <w:rFonts w:ascii="仿宋_GB2312" w:eastAsia="仿宋_GB2312" w:hAnsi="Calibri"/>
          <w:color w:val="000000" w:themeColor="text1"/>
          <w:kern w:val="0"/>
          <w:sz w:val="32"/>
          <w:szCs w:val="32"/>
        </w:rPr>
        <w:t>中级职称</w:t>
      </w:r>
      <w:r>
        <w:rPr>
          <w:rFonts w:ascii="仿宋_GB2312" w:eastAsia="仿宋_GB2312" w:hAnsi="Calibri" w:hint="eastAsia"/>
          <w:color w:val="000000" w:themeColor="text1"/>
          <w:kern w:val="0"/>
          <w:sz w:val="32"/>
          <w:szCs w:val="32"/>
        </w:rPr>
        <w:t>。</w:t>
      </w:r>
    </w:p>
    <w:p w:rsidR="000A40FE" w:rsidRDefault="001B37B3" w:rsidP="001B37B3">
      <w:pPr>
        <w:pBdr>
          <w:bottom w:val="single" w:sz="4" w:space="31" w:color="FFFFFF"/>
        </w:pBdr>
        <w:tabs>
          <w:tab w:val="left" w:pos="1440"/>
        </w:tabs>
        <w:adjustRightInd w:val="0"/>
        <w:spacing w:line="560" w:lineRule="exact"/>
        <w:ind w:firstLineChars="200" w:firstLine="632"/>
        <w:rPr>
          <w:rFonts w:ascii="仿宋_GB2312" w:hAnsi="仿宋_GB2312" w:cs="仿宋_GB2312"/>
        </w:rPr>
      </w:pPr>
      <w:r>
        <w:rPr>
          <w:rFonts w:ascii="仿宋_GB2312" w:hAnsi="Calibri"/>
          <w:color w:val="000000" w:themeColor="text1"/>
          <w:kern w:val="0"/>
          <w:szCs w:val="32"/>
        </w:rPr>
        <w:t>下一步，我们将切实发挥好人社部门作用，积极督导各级各类企业贯彻落实</w:t>
      </w:r>
      <w:r>
        <w:rPr>
          <w:rFonts w:ascii="仿宋_GB2312" w:hAnsi="Calibri" w:hint="eastAsia"/>
          <w:color w:val="000000" w:themeColor="text1"/>
          <w:kern w:val="0"/>
          <w:szCs w:val="32"/>
        </w:rPr>
        <w:t>《企业工会工作条例》</w:t>
      </w:r>
      <w:r>
        <w:rPr>
          <w:rFonts w:ascii="仿宋_GB2312" w:hAnsi="Calibri"/>
          <w:color w:val="000000" w:themeColor="text1"/>
          <w:kern w:val="0"/>
          <w:szCs w:val="32"/>
        </w:rPr>
        <w:t>，大力</w:t>
      </w:r>
      <w:r>
        <w:rPr>
          <w:rFonts w:ascii="仿宋_GB2312" w:hAnsi="Calibri" w:hint="eastAsia"/>
          <w:color w:val="000000" w:themeColor="text1"/>
          <w:kern w:val="0"/>
          <w:szCs w:val="32"/>
        </w:rPr>
        <w:t>配合工会、工信等职能部门做好</w:t>
      </w:r>
      <w:r>
        <w:rPr>
          <w:rFonts w:ascii="仿宋_GB2312" w:hAnsi="Calibri"/>
          <w:color w:val="000000" w:themeColor="text1"/>
          <w:kern w:val="0"/>
          <w:szCs w:val="32"/>
        </w:rPr>
        <w:t>宣传、指导和管理服务。</w:t>
      </w:r>
      <w:r>
        <w:rPr>
          <w:rFonts w:ascii="仿宋_GB2312" w:hAnsi="Calibri" w:hint="eastAsia"/>
          <w:color w:val="000000" w:themeColor="text1"/>
          <w:kern w:val="0"/>
          <w:szCs w:val="32"/>
        </w:rPr>
        <w:t>认真贯彻落实省、市“人人持证、技能河南”建设有关要求，</w:t>
      </w:r>
      <w:r>
        <w:rPr>
          <w:rFonts w:ascii="仿宋_GB2312" w:hAnsi="Calibri"/>
          <w:color w:val="000000" w:themeColor="text1"/>
          <w:kern w:val="0"/>
          <w:szCs w:val="32"/>
        </w:rPr>
        <w:t>全力做好企业职工培训培养</w:t>
      </w:r>
      <w:r>
        <w:rPr>
          <w:rFonts w:ascii="仿宋_GB2312" w:hAnsi="Calibri" w:hint="eastAsia"/>
          <w:color w:val="000000" w:themeColor="text1"/>
          <w:kern w:val="0"/>
          <w:szCs w:val="32"/>
        </w:rPr>
        <w:t>工作</w:t>
      </w:r>
      <w:r>
        <w:rPr>
          <w:rFonts w:ascii="仿宋_GB2312" w:hAnsi="Calibri"/>
          <w:color w:val="000000" w:themeColor="text1"/>
          <w:kern w:val="0"/>
          <w:szCs w:val="32"/>
        </w:rPr>
        <w:t>，</w:t>
      </w:r>
      <w:r>
        <w:rPr>
          <w:rFonts w:ascii="仿宋_GB2312" w:hAnsi="Calibri" w:hint="eastAsia"/>
          <w:color w:val="000000" w:themeColor="text1"/>
          <w:kern w:val="0"/>
          <w:szCs w:val="32"/>
        </w:rPr>
        <w:t>同时结合“万人助万企”活动精神，继续做好与企业的联络沟通，及时掌握企业各项动态，深化用工服务，以人社高质量服务助力我市经济社会发展提质增效。</w:t>
      </w:r>
    </w:p>
    <w:p w:rsidR="00DA0071" w:rsidRPr="00DA0071" w:rsidRDefault="00DA0071" w:rsidP="001B37B3">
      <w:pPr>
        <w:spacing w:line="560" w:lineRule="exact"/>
      </w:pPr>
    </w:p>
    <w:p w:rsidR="00806402" w:rsidRDefault="00806402" w:rsidP="001B37B3">
      <w:pPr>
        <w:spacing w:line="560" w:lineRule="exact"/>
        <w:ind w:rightChars="376" w:right="1188"/>
        <w:jc w:val="right"/>
      </w:pPr>
      <w:r>
        <w:rPr>
          <w:rFonts w:hint="eastAsia"/>
        </w:rPr>
        <w:t>2024</w:t>
      </w:r>
      <w:r>
        <w:rPr>
          <w:rFonts w:hint="eastAsia"/>
        </w:rPr>
        <w:t>年</w:t>
      </w:r>
      <w:r>
        <w:rPr>
          <w:rFonts w:hint="eastAsia"/>
        </w:rPr>
        <w:t>5</w:t>
      </w:r>
      <w:r>
        <w:rPr>
          <w:rFonts w:hint="eastAsia"/>
        </w:rPr>
        <w:t>月</w:t>
      </w:r>
      <w:r>
        <w:rPr>
          <w:rFonts w:hint="eastAsia"/>
        </w:rPr>
        <w:t>28</w:t>
      </w:r>
      <w:r>
        <w:rPr>
          <w:rFonts w:hint="eastAsia"/>
        </w:rPr>
        <w:t>日</w:t>
      </w:r>
    </w:p>
    <w:p w:rsidR="00806402" w:rsidRDefault="00806402" w:rsidP="001B37B3">
      <w:pPr>
        <w:pStyle w:val="a4"/>
        <w:spacing w:line="560" w:lineRule="exact"/>
        <w:rPr>
          <w:rFonts w:ascii="仿宋_GB2312" w:eastAsia="仿宋_GB2312" w:hAnsi="仿宋_GB2312" w:cs="仿宋_GB2312"/>
          <w:sz w:val="32"/>
        </w:rPr>
      </w:pPr>
      <w:r w:rsidRPr="00806402">
        <w:rPr>
          <w:rFonts w:ascii="仿宋_GB2312" w:eastAsia="仿宋_GB2312" w:hAnsi="仿宋_GB2312" w:cs="仿宋_GB2312" w:hint="eastAsia"/>
          <w:sz w:val="32"/>
        </w:rPr>
        <w:t>联系部门及电话：市人社局</w:t>
      </w:r>
      <w:r>
        <w:rPr>
          <w:rFonts w:ascii="仿宋_GB2312" w:eastAsia="仿宋_GB2312" w:hAnsi="仿宋_GB2312" w:cs="仿宋_GB2312" w:hint="eastAsia"/>
          <w:sz w:val="32"/>
        </w:rPr>
        <w:t xml:space="preserve"> </w:t>
      </w:r>
      <w:r w:rsidRPr="00806402">
        <w:rPr>
          <w:rFonts w:ascii="仿宋_GB2312" w:eastAsia="仿宋_GB2312" w:hAnsi="仿宋_GB2312" w:cs="仿宋_GB2312" w:hint="eastAsia"/>
          <w:sz w:val="32"/>
        </w:rPr>
        <w:t xml:space="preserve"> 2850339   联系人：秦斌</w:t>
      </w:r>
    </w:p>
    <w:p w:rsidR="00C22920" w:rsidRDefault="00C22920" w:rsidP="00C22920"/>
    <w:p w:rsidR="00DA0071" w:rsidRPr="00DA0071" w:rsidRDefault="00DA0071" w:rsidP="00DA0071">
      <w:pPr>
        <w:pStyle w:val="a4"/>
        <w:ind w:firstLine="872"/>
      </w:pPr>
    </w:p>
    <w:p w:rsidR="00C22920" w:rsidRPr="00C22920" w:rsidRDefault="001D5DF2" w:rsidP="002A1171">
      <w:pPr>
        <w:snapToGrid w:val="0"/>
        <w:spacing w:line="600" w:lineRule="exact"/>
      </w:pPr>
      <w:r w:rsidRPr="001D5DF2">
        <w:rPr>
          <w:rFonts w:eastAsia="宋体"/>
          <w:snapToGrid w:val="0"/>
          <w:sz w:val="21"/>
          <w:szCs w:val="24"/>
        </w:rPr>
        <w:pict>
          <v:line id="直线 2" o:spid="_x0000_s2050" style="position:absolute;left:0;text-align:left;z-index:251658240" from="1.1pt,30.9pt" to="445.7pt,30.9pt" o:gfxdata="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Ua3A9QAAAAH&#10;AQAADwAAAAAAAAABACAAAAAiAAAAZHJzL2Rvd25yZXYueG1sUEsBAhQAFAAAAAgAh07iQGmoyPnn&#10;AQAA2wMAAA4AAAAAAAAAAQAgAAAAIwEAAGRycy9lMm9Eb2MueG1sUEsFBgAAAAAGAAYAWQEAAHwF&#10;AAAAAA==&#10;"/>
        </w:pict>
      </w:r>
      <w:r w:rsidR="00C22920">
        <w:rPr>
          <w:rFonts w:ascii="仿宋_GB2312" w:hAnsi="楷体_GB2312" w:cs="楷体_GB2312" w:hint="eastAsia"/>
          <w:color w:val="000000"/>
          <w:kern w:val="0"/>
          <w:sz w:val="28"/>
          <w:szCs w:val="21"/>
        </w:rPr>
        <w:t>抄送：市政协</w:t>
      </w:r>
      <w:r w:rsidR="002A1171">
        <w:rPr>
          <w:rFonts w:ascii="仿宋_GB2312" w:hAnsi="楷体_GB2312" w:cs="楷体_GB2312" w:hint="eastAsia"/>
          <w:color w:val="000000"/>
          <w:kern w:val="0"/>
          <w:sz w:val="28"/>
          <w:szCs w:val="21"/>
        </w:rPr>
        <w:t>提案</w:t>
      </w:r>
      <w:r w:rsidR="00C22920">
        <w:rPr>
          <w:rFonts w:ascii="仿宋_GB2312" w:hAnsi="楷体_GB2312" w:cs="楷体_GB2312" w:hint="eastAsia"/>
          <w:color w:val="000000"/>
          <w:kern w:val="0"/>
          <w:sz w:val="28"/>
          <w:szCs w:val="21"/>
        </w:rPr>
        <w:t>委（3份），市政府督查室（1份）。</w:t>
      </w:r>
    </w:p>
    <w:sectPr w:rsidR="00C22920" w:rsidRPr="00C22920" w:rsidSect="00DA0071">
      <w:footerReference w:type="default" r:id="rId7"/>
      <w:pgSz w:w="11906" w:h="16838"/>
      <w:pgMar w:top="2098" w:right="1531" w:bottom="1701" w:left="1531" w:header="851" w:footer="1417" w:gutter="0"/>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659" w:rsidRDefault="00E14659" w:rsidP="000A40FE">
      <w:r>
        <w:separator/>
      </w:r>
    </w:p>
  </w:endnote>
  <w:endnote w:type="continuationSeparator" w:id="0">
    <w:p w:rsidR="00E14659" w:rsidRDefault="00E14659" w:rsidP="000A40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小标宋">
    <w:altName w:val="微软雅黑"/>
    <w:charset w:val="00"/>
    <w:family w:val="script"/>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charset w:val="86"/>
    <w:family w:val="auto"/>
    <w:pitch w:val="default"/>
    <w:sig w:usb0="00000001" w:usb1="08000000" w:usb2="00000000" w:usb3="00000000" w:csb0="00040000" w:csb1="00000000"/>
  </w:font>
  <w:font w:name="方正仿宋_GBK">
    <w:altName w:val="微软雅黑"/>
    <w:charset w:val="86"/>
    <w:family w:val="auto"/>
    <w:pitch w:val="default"/>
    <w:sig w:usb0="00000000"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0FE" w:rsidRDefault="001D5DF2">
    <w:pPr>
      <w:pStyle w:val="a9"/>
      <w:ind w:right="360" w:firstLine="360"/>
    </w:pPr>
    <w:r>
      <w:pict>
        <v:shapetype id="_x0000_t202" coordsize="21600,21600" o:spt="202" path="m,l,21600r21600,l21600,xe">
          <v:stroke joinstyle="miter"/>
          <v:path gradientshapeok="t" o:connecttype="rect"/>
        </v:shapetype>
        <v:shape id="_x0000_s1026" type="#_x0000_t202" style="position:absolute;left:0;text-align:left;margin-left:312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0A40FE" w:rsidRDefault="0070658B">
                <w:pPr>
                  <w:pStyle w:val="a9"/>
                </w:pPr>
                <w:r>
                  <w:rPr>
                    <w:rFonts w:asciiTheme="minorEastAsia" w:eastAsiaTheme="minorEastAsia" w:hAnsiTheme="minorEastAsia" w:cstheme="minorEastAsia" w:hint="eastAsia"/>
                    <w:sz w:val="28"/>
                    <w:szCs w:val="28"/>
                  </w:rPr>
                  <w:t xml:space="preserve">— </w:t>
                </w:r>
                <w:r w:rsidR="001D5DF2">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1D5DF2">
                  <w:rPr>
                    <w:rFonts w:asciiTheme="minorEastAsia" w:eastAsiaTheme="minorEastAsia" w:hAnsiTheme="minorEastAsia" w:cstheme="minorEastAsia" w:hint="eastAsia"/>
                    <w:sz w:val="28"/>
                    <w:szCs w:val="28"/>
                  </w:rPr>
                  <w:fldChar w:fldCharType="separate"/>
                </w:r>
                <w:r w:rsidR="00BE701F">
                  <w:rPr>
                    <w:rFonts w:asciiTheme="minorEastAsia" w:eastAsiaTheme="minorEastAsia" w:hAnsiTheme="minorEastAsia" w:cstheme="minorEastAsia"/>
                    <w:noProof/>
                    <w:sz w:val="28"/>
                    <w:szCs w:val="28"/>
                  </w:rPr>
                  <w:t>1</w:t>
                </w:r>
                <w:r w:rsidR="001D5DF2">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659" w:rsidRDefault="00E14659" w:rsidP="000A40FE">
      <w:r>
        <w:separator/>
      </w:r>
    </w:p>
  </w:footnote>
  <w:footnote w:type="continuationSeparator" w:id="0">
    <w:p w:rsidR="00E14659" w:rsidRDefault="00E14659" w:rsidP="000A40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stylePaneFormatFilter w:val="3F01"/>
  <w:documentProtection w:edit="readOnly" w:formatting="1" w:enforcement="0"/>
  <w:defaultTabStop w:val="420"/>
  <w:drawingGridHorizontalSpacing w:val="158"/>
  <w:drawingGridVerticalSpacing w:val="579"/>
  <w:displayHorizontalDrawingGridEvery w:val="2"/>
  <w:noPunctuationKerning/>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mZhZTE4NTNmN2Q2MmUyOGRjZTVmZjEyM2UxMjg0NDUifQ=="/>
  </w:docVars>
  <w:rsids>
    <w:rsidRoot w:val="00BC1A58"/>
    <w:rsid w:val="F7AEDC25"/>
    <w:rsid w:val="FA5FBBE9"/>
    <w:rsid w:val="FF9A278E"/>
    <w:rsid w:val="000206A9"/>
    <w:rsid w:val="00034B16"/>
    <w:rsid w:val="000870D8"/>
    <w:rsid w:val="00095E04"/>
    <w:rsid w:val="000A1309"/>
    <w:rsid w:val="000A40FE"/>
    <w:rsid w:val="000B0F50"/>
    <w:rsid w:val="000F49A2"/>
    <w:rsid w:val="00100AD8"/>
    <w:rsid w:val="00103D81"/>
    <w:rsid w:val="00110417"/>
    <w:rsid w:val="001439C3"/>
    <w:rsid w:val="00155E60"/>
    <w:rsid w:val="00157162"/>
    <w:rsid w:val="001662CD"/>
    <w:rsid w:val="00170933"/>
    <w:rsid w:val="00174ACE"/>
    <w:rsid w:val="00176DDB"/>
    <w:rsid w:val="00177765"/>
    <w:rsid w:val="00180D04"/>
    <w:rsid w:val="001B37B3"/>
    <w:rsid w:val="001B57EA"/>
    <w:rsid w:val="001C1704"/>
    <w:rsid w:val="001D5DF2"/>
    <w:rsid w:val="001F4FE0"/>
    <w:rsid w:val="0021215E"/>
    <w:rsid w:val="00226559"/>
    <w:rsid w:val="00230CCA"/>
    <w:rsid w:val="00234379"/>
    <w:rsid w:val="00281CB3"/>
    <w:rsid w:val="002845BA"/>
    <w:rsid w:val="0028745C"/>
    <w:rsid w:val="00294571"/>
    <w:rsid w:val="002A1171"/>
    <w:rsid w:val="002C0E0B"/>
    <w:rsid w:val="002F72AE"/>
    <w:rsid w:val="003143F1"/>
    <w:rsid w:val="0034000F"/>
    <w:rsid w:val="00354F84"/>
    <w:rsid w:val="00361209"/>
    <w:rsid w:val="0036170D"/>
    <w:rsid w:val="003876A4"/>
    <w:rsid w:val="003918BE"/>
    <w:rsid w:val="003A1FBA"/>
    <w:rsid w:val="003C45A5"/>
    <w:rsid w:val="003F46AF"/>
    <w:rsid w:val="00404828"/>
    <w:rsid w:val="00440181"/>
    <w:rsid w:val="0048557B"/>
    <w:rsid w:val="004A2884"/>
    <w:rsid w:val="004A2A3E"/>
    <w:rsid w:val="004A3077"/>
    <w:rsid w:val="004B79F5"/>
    <w:rsid w:val="004D4D94"/>
    <w:rsid w:val="004D6576"/>
    <w:rsid w:val="0050124C"/>
    <w:rsid w:val="0050191A"/>
    <w:rsid w:val="00507473"/>
    <w:rsid w:val="0053147B"/>
    <w:rsid w:val="00587EF5"/>
    <w:rsid w:val="005915F7"/>
    <w:rsid w:val="005C456F"/>
    <w:rsid w:val="005C7408"/>
    <w:rsid w:val="00602D06"/>
    <w:rsid w:val="00604F0F"/>
    <w:rsid w:val="00617A8C"/>
    <w:rsid w:val="006237E6"/>
    <w:rsid w:val="00636998"/>
    <w:rsid w:val="00654E0C"/>
    <w:rsid w:val="006854DC"/>
    <w:rsid w:val="0068721B"/>
    <w:rsid w:val="00694407"/>
    <w:rsid w:val="00694CEA"/>
    <w:rsid w:val="006F2B94"/>
    <w:rsid w:val="006F6D2A"/>
    <w:rsid w:val="0070658B"/>
    <w:rsid w:val="0071078D"/>
    <w:rsid w:val="00737F09"/>
    <w:rsid w:val="00766263"/>
    <w:rsid w:val="007B318B"/>
    <w:rsid w:val="007F4ACF"/>
    <w:rsid w:val="00806402"/>
    <w:rsid w:val="00814460"/>
    <w:rsid w:val="00836329"/>
    <w:rsid w:val="008726E3"/>
    <w:rsid w:val="00873C39"/>
    <w:rsid w:val="008A5F83"/>
    <w:rsid w:val="008C43CA"/>
    <w:rsid w:val="008E3690"/>
    <w:rsid w:val="0092210A"/>
    <w:rsid w:val="00973344"/>
    <w:rsid w:val="009926ED"/>
    <w:rsid w:val="009A776C"/>
    <w:rsid w:val="009B0D57"/>
    <w:rsid w:val="009B1FCB"/>
    <w:rsid w:val="009B407D"/>
    <w:rsid w:val="009C4FEB"/>
    <w:rsid w:val="009D0B6B"/>
    <w:rsid w:val="009D440A"/>
    <w:rsid w:val="00A006C7"/>
    <w:rsid w:val="00A14BE0"/>
    <w:rsid w:val="00A204C0"/>
    <w:rsid w:val="00A40266"/>
    <w:rsid w:val="00A45EF7"/>
    <w:rsid w:val="00A5512B"/>
    <w:rsid w:val="00A658F8"/>
    <w:rsid w:val="00A65DBA"/>
    <w:rsid w:val="00A70DC4"/>
    <w:rsid w:val="00A96E16"/>
    <w:rsid w:val="00AA0BD4"/>
    <w:rsid w:val="00AC0F2C"/>
    <w:rsid w:val="00AD4FA3"/>
    <w:rsid w:val="00B47071"/>
    <w:rsid w:val="00B66A6C"/>
    <w:rsid w:val="00B73BEB"/>
    <w:rsid w:val="00B85A6F"/>
    <w:rsid w:val="00B86DCD"/>
    <w:rsid w:val="00BB159A"/>
    <w:rsid w:val="00BB3DCA"/>
    <w:rsid w:val="00BB53BD"/>
    <w:rsid w:val="00BC1A58"/>
    <w:rsid w:val="00BC27B2"/>
    <w:rsid w:val="00BD3503"/>
    <w:rsid w:val="00BE6348"/>
    <w:rsid w:val="00BE701F"/>
    <w:rsid w:val="00BF0AD8"/>
    <w:rsid w:val="00BF7099"/>
    <w:rsid w:val="00C22920"/>
    <w:rsid w:val="00C251AC"/>
    <w:rsid w:val="00C3105B"/>
    <w:rsid w:val="00C34401"/>
    <w:rsid w:val="00C82642"/>
    <w:rsid w:val="00C95F14"/>
    <w:rsid w:val="00CB4F28"/>
    <w:rsid w:val="00CB5B69"/>
    <w:rsid w:val="00CD5E2A"/>
    <w:rsid w:val="00CE586C"/>
    <w:rsid w:val="00D26826"/>
    <w:rsid w:val="00D2728E"/>
    <w:rsid w:val="00D46AA7"/>
    <w:rsid w:val="00D5718F"/>
    <w:rsid w:val="00D70D6F"/>
    <w:rsid w:val="00D8529B"/>
    <w:rsid w:val="00D9165E"/>
    <w:rsid w:val="00DA0071"/>
    <w:rsid w:val="00DB4422"/>
    <w:rsid w:val="00DE6935"/>
    <w:rsid w:val="00E10340"/>
    <w:rsid w:val="00E14659"/>
    <w:rsid w:val="00E17608"/>
    <w:rsid w:val="00E21B17"/>
    <w:rsid w:val="00E45728"/>
    <w:rsid w:val="00E7056A"/>
    <w:rsid w:val="00E96616"/>
    <w:rsid w:val="00EC0ED9"/>
    <w:rsid w:val="00EE4ACC"/>
    <w:rsid w:val="00EE6176"/>
    <w:rsid w:val="00EF17BB"/>
    <w:rsid w:val="00EF3DAD"/>
    <w:rsid w:val="00F013EA"/>
    <w:rsid w:val="00F609D2"/>
    <w:rsid w:val="00F97D83"/>
    <w:rsid w:val="00FA37B7"/>
    <w:rsid w:val="00FA5CF6"/>
    <w:rsid w:val="00FC2C2C"/>
    <w:rsid w:val="00FC3346"/>
    <w:rsid w:val="00FD34E7"/>
    <w:rsid w:val="00FF103D"/>
    <w:rsid w:val="00FF6CE4"/>
    <w:rsid w:val="01560A40"/>
    <w:rsid w:val="051504CC"/>
    <w:rsid w:val="0A1C7FF5"/>
    <w:rsid w:val="13313682"/>
    <w:rsid w:val="17436915"/>
    <w:rsid w:val="23A32546"/>
    <w:rsid w:val="2ED70377"/>
    <w:rsid w:val="37781A85"/>
    <w:rsid w:val="39AE4E47"/>
    <w:rsid w:val="3D593035"/>
    <w:rsid w:val="468245DC"/>
    <w:rsid w:val="4AB67871"/>
    <w:rsid w:val="4B3C2D5F"/>
    <w:rsid w:val="4E144BA8"/>
    <w:rsid w:val="4E386D05"/>
    <w:rsid w:val="4E583272"/>
    <w:rsid w:val="4EE02FF7"/>
    <w:rsid w:val="529413C4"/>
    <w:rsid w:val="54977258"/>
    <w:rsid w:val="5AF25692"/>
    <w:rsid w:val="5FD376D6"/>
    <w:rsid w:val="63370D0E"/>
    <w:rsid w:val="64860A35"/>
    <w:rsid w:val="69D56401"/>
    <w:rsid w:val="6AC83870"/>
    <w:rsid w:val="6DDA4829"/>
    <w:rsid w:val="70ED453D"/>
    <w:rsid w:val="7296005D"/>
    <w:rsid w:val="7A757632"/>
    <w:rsid w:val="7B99B4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qFormat="1"/>
    <w:lsdException w:name="Normal Indent" w:unhideWhenUsed="1" w:qFormat="1"/>
    <w:lsdException w:name="header" w:qFormat="1"/>
    <w:lsdException w:name="footer" w:qFormat="1"/>
    <w:lsdException w:name="page number" w:qFormat="1"/>
    <w:lsdException w:name="Closing" w:semiHidden="1" w:qFormat="1"/>
    <w:lsdException w:name="Default Paragraph Font" w:semiHidden="1" w:qFormat="1"/>
    <w:lsdException w:name="Body Text" w:qFormat="1"/>
    <w:lsdException w:name="Body Text Indent" w:uiPriority="99" w:qFormat="1"/>
    <w:lsdException w:name="Date" w:qFormat="1"/>
    <w:lsdException w:name="Body Text First Indent" w:qFormat="1"/>
    <w:lsdException w:name="Body Text First Indent 2" w:qFormat="1"/>
    <w:lsdException w:name="Body Text 2" w:uiPriority="99"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rsid w:val="000A40FE"/>
    <w:pPr>
      <w:widowControl w:val="0"/>
      <w:jc w:val="both"/>
    </w:pPr>
    <w:rPr>
      <w:rFonts w:eastAsia="仿宋_GB2312"/>
      <w:kern w:val="2"/>
      <w:sz w:val="32"/>
    </w:rPr>
  </w:style>
  <w:style w:type="paragraph" w:styleId="1">
    <w:name w:val="heading 1"/>
    <w:basedOn w:val="a"/>
    <w:next w:val="a"/>
    <w:autoRedefine/>
    <w:qFormat/>
    <w:rsid w:val="000A40FE"/>
    <w:pPr>
      <w:keepNext/>
      <w:keepLines/>
      <w:spacing w:line="360" w:lineRule="auto"/>
      <w:jc w:val="left"/>
      <w:outlineLvl w:val="0"/>
    </w:pPr>
    <w:rPr>
      <w:rFonts w:ascii="Calibri" w:eastAsia="宋体" w:hAnsi="Calibri"/>
      <w:b/>
      <w:bCs/>
      <w:kern w:val="44"/>
      <w:sz w:val="30"/>
      <w:szCs w:val="44"/>
    </w:rPr>
  </w:style>
  <w:style w:type="paragraph" w:styleId="20">
    <w:name w:val="heading 2"/>
    <w:basedOn w:val="a"/>
    <w:next w:val="a"/>
    <w:autoRedefine/>
    <w:qFormat/>
    <w:rsid w:val="000A40FE"/>
    <w:pPr>
      <w:spacing w:beforeAutospacing="1" w:afterAutospacing="1"/>
      <w:jc w:val="left"/>
      <w:outlineLvl w:val="1"/>
    </w:pPr>
    <w:rPr>
      <w:rFonts w:ascii="宋体" w:eastAsia="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qFormat/>
    <w:rsid w:val="000A40FE"/>
    <w:pPr>
      <w:ind w:firstLineChars="200" w:firstLine="420"/>
    </w:pPr>
    <w:rPr>
      <w:rFonts w:eastAsia="宋体"/>
      <w:szCs w:val="22"/>
    </w:rPr>
  </w:style>
  <w:style w:type="paragraph" w:styleId="a3">
    <w:name w:val="Body Text Indent"/>
    <w:basedOn w:val="a"/>
    <w:next w:val="a5"/>
    <w:uiPriority w:val="99"/>
    <w:qFormat/>
    <w:rsid w:val="000A40FE"/>
    <w:pPr>
      <w:ind w:leftChars="200" w:left="420"/>
    </w:pPr>
  </w:style>
  <w:style w:type="paragraph" w:styleId="a5">
    <w:name w:val="Normal Indent"/>
    <w:basedOn w:val="a"/>
    <w:next w:val="a"/>
    <w:unhideWhenUsed/>
    <w:qFormat/>
    <w:rsid w:val="000A40FE"/>
    <w:pPr>
      <w:ind w:firstLineChars="200" w:firstLine="420"/>
    </w:pPr>
  </w:style>
  <w:style w:type="paragraph" w:styleId="a4">
    <w:name w:val="Body Text First Indent"/>
    <w:basedOn w:val="a6"/>
    <w:next w:val="a"/>
    <w:autoRedefine/>
    <w:qFormat/>
    <w:rsid w:val="00806402"/>
    <w:pPr>
      <w:ind w:firstLineChars="200" w:firstLine="632"/>
    </w:pPr>
  </w:style>
  <w:style w:type="paragraph" w:styleId="a6">
    <w:name w:val="Body Text"/>
    <w:basedOn w:val="a"/>
    <w:next w:val="21"/>
    <w:autoRedefine/>
    <w:qFormat/>
    <w:rsid w:val="000A40FE"/>
    <w:pPr>
      <w:spacing w:line="0" w:lineRule="atLeast"/>
    </w:pPr>
    <w:rPr>
      <w:rFonts w:eastAsia="小标宋"/>
      <w:sz w:val="44"/>
    </w:rPr>
  </w:style>
  <w:style w:type="paragraph" w:styleId="21">
    <w:name w:val="Body Text 2"/>
    <w:basedOn w:val="a"/>
    <w:next w:val="a6"/>
    <w:uiPriority w:val="99"/>
    <w:qFormat/>
    <w:rsid w:val="000A40FE"/>
    <w:pPr>
      <w:spacing w:line="360" w:lineRule="auto"/>
      <w:textAlignment w:val="baseline"/>
    </w:pPr>
    <w:rPr>
      <w:rFonts w:ascii="楷体_GB2312" w:eastAsia="楷体_GB2312" w:cs="楷体_GB2312"/>
      <w:kern w:val="44"/>
      <w:sz w:val="28"/>
      <w:szCs w:val="28"/>
    </w:rPr>
  </w:style>
  <w:style w:type="paragraph" w:styleId="a7">
    <w:name w:val="Closing"/>
    <w:basedOn w:val="a"/>
    <w:autoRedefine/>
    <w:semiHidden/>
    <w:qFormat/>
    <w:rsid w:val="000A40FE"/>
    <w:pPr>
      <w:spacing w:before="100" w:beforeAutospacing="1" w:after="100" w:afterAutospacing="1"/>
      <w:ind w:leftChars="2100" w:left="100"/>
    </w:pPr>
    <w:rPr>
      <w:rFonts w:ascii="仿宋_GB2312" w:hAnsi="宋体"/>
      <w:szCs w:val="32"/>
    </w:rPr>
  </w:style>
  <w:style w:type="paragraph" w:styleId="a8">
    <w:name w:val="Date"/>
    <w:basedOn w:val="a"/>
    <w:next w:val="a"/>
    <w:autoRedefine/>
    <w:qFormat/>
    <w:rsid w:val="000A40FE"/>
    <w:pPr>
      <w:ind w:leftChars="2500" w:left="100"/>
    </w:pPr>
  </w:style>
  <w:style w:type="paragraph" w:styleId="a9">
    <w:name w:val="footer"/>
    <w:basedOn w:val="a"/>
    <w:autoRedefine/>
    <w:qFormat/>
    <w:rsid w:val="000A40FE"/>
    <w:pPr>
      <w:tabs>
        <w:tab w:val="center" w:pos="4153"/>
        <w:tab w:val="right" w:pos="8306"/>
      </w:tabs>
      <w:snapToGrid w:val="0"/>
      <w:jc w:val="left"/>
    </w:pPr>
    <w:rPr>
      <w:sz w:val="18"/>
    </w:rPr>
  </w:style>
  <w:style w:type="paragraph" w:styleId="aa">
    <w:name w:val="header"/>
    <w:basedOn w:val="a"/>
    <w:autoRedefine/>
    <w:qFormat/>
    <w:rsid w:val="000A40F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rsid w:val="000A40FE"/>
    <w:pPr>
      <w:spacing w:beforeAutospacing="1" w:afterAutospacing="1"/>
      <w:jc w:val="left"/>
    </w:pPr>
    <w:rPr>
      <w:kern w:val="0"/>
      <w:sz w:val="24"/>
    </w:rPr>
  </w:style>
  <w:style w:type="character" w:styleId="ac">
    <w:name w:val="page number"/>
    <w:basedOn w:val="a0"/>
    <w:autoRedefine/>
    <w:qFormat/>
    <w:rsid w:val="000A40FE"/>
  </w:style>
  <w:style w:type="paragraph" w:customStyle="1" w:styleId="10">
    <w:name w:val="无间隔1"/>
    <w:basedOn w:val="a"/>
    <w:autoRedefine/>
    <w:qFormat/>
    <w:rsid w:val="000A40FE"/>
    <w:pPr>
      <w:spacing w:line="400" w:lineRule="exact"/>
    </w:pPr>
    <w:rPr>
      <w:rFonts w:ascii="Calibri" w:eastAsia="宋体" w:hAnsi="Calibr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475</Words>
  <Characters>2712</Characters>
  <Application>Microsoft Office Word</Application>
  <DocSecurity>0</DocSecurity>
  <Lines>22</Lines>
  <Paragraphs>6</Paragraphs>
  <ScaleCrop>false</ScaleCrop>
  <Company>微软中国</Company>
  <LinksUpToDate>false</LinksUpToDate>
  <CharactersWithSpaces>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7</cp:revision>
  <cp:lastPrinted>2024-05-30T08:06:00Z</cp:lastPrinted>
  <dcterms:created xsi:type="dcterms:W3CDTF">2023-05-17T10:55:00Z</dcterms:created>
  <dcterms:modified xsi:type="dcterms:W3CDTF">2024-05-30T08:07:00Z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FA204660851B495A87C8921FEF5D3B06_13</vt:lpwstr>
  </property>
</Properties>
</file>