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058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u w:val="none"/>
          <w:lang w:val="en-US" w:eastAsia="zh-CN"/>
        </w:rPr>
      </w:pPr>
    </w:p>
    <w:p w14:paraId="4481D86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u w:val="none"/>
          <w:lang w:val="en-US" w:eastAsia="zh-CN"/>
        </w:rPr>
      </w:pPr>
      <w:r>
        <w:rPr>
          <w:rFonts w:hint="eastAsia" w:ascii="Times New Roman" w:hAnsi="Times New Roman" w:eastAsia="方正小标宋_GBK" w:cs="Times New Roman"/>
          <w:sz w:val="44"/>
          <w:szCs w:val="44"/>
          <w:u w:val="none"/>
          <w:lang w:val="en-US" w:eastAsia="zh-CN"/>
        </w:rPr>
        <w:t>三门峡市司法局</w:t>
      </w:r>
    </w:p>
    <w:p w14:paraId="1DA395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u w:val="none"/>
          <w:lang w:val="en-US" w:eastAsia="zh-CN"/>
        </w:rPr>
      </w:pPr>
      <w:r>
        <w:rPr>
          <w:rFonts w:hint="default" w:ascii="Times New Roman" w:hAnsi="Times New Roman" w:eastAsia="方正小标宋_GBK" w:cs="Times New Roman"/>
          <w:sz w:val="44"/>
          <w:szCs w:val="44"/>
          <w:u w:val="none"/>
          <w:lang w:val="en-US"/>
        </w:rPr>
        <w:t>关于“规范行政诉讼中行政负责人出庭制度、实质性化解行政争议”</w:t>
      </w:r>
      <w:r>
        <w:rPr>
          <w:rFonts w:hint="default" w:ascii="Times New Roman" w:hAnsi="Times New Roman" w:eastAsia="方正小标宋_GBK" w:cs="Times New Roman"/>
          <w:sz w:val="44"/>
          <w:szCs w:val="44"/>
          <w:u w:val="none"/>
          <w:lang w:val="en-US" w:eastAsia="zh-CN"/>
        </w:rPr>
        <w:t>政协提案的回复</w:t>
      </w:r>
    </w:p>
    <w:p w14:paraId="3E51D65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u w:val="none"/>
          <w:lang w:val="en-US" w:eastAsia="zh-CN"/>
        </w:rPr>
      </w:pPr>
    </w:p>
    <w:p w14:paraId="4E4AAECA">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尊敬的阴高松、刘咏梅、郭胜利委员：</w:t>
      </w:r>
    </w:p>
    <w:p w14:paraId="1670723E">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lang w:val="en-US" w:eastAsia="zh-CN"/>
        </w:rPr>
        <w:t>你们</w:t>
      </w:r>
      <w:r>
        <w:rPr>
          <w:rFonts w:hint="default" w:ascii="Times New Roman" w:hAnsi="Times New Roman" w:eastAsia="仿宋_GB2312" w:cs="Times New Roman"/>
          <w:sz w:val="32"/>
          <w:szCs w:val="32"/>
          <w:lang w:val="en-US" w:eastAsia="zh-CN"/>
        </w:rPr>
        <w:t>提出的关于“规范行政诉讼中行政负责人出庭制度、实质性化解行政争议”的提案已收悉，</w:t>
      </w:r>
      <w:r>
        <w:rPr>
          <w:rFonts w:hint="eastAsia" w:ascii="Times New Roman" w:hAnsi="Times New Roman" w:eastAsia="仿宋_GB2312" w:cs="Times New Roman"/>
          <w:sz w:val="32"/>
          <w:szCs w:val="32"/>
          <w:lang w:val="en-US" w:eastAsia="zh-CN"/>
        </w:rPr>
        <w:t>我局高度重视</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会同市中级人民法院、市政府办公室进行专题研究，</w:t>
      </w:r>
      <w:r>
        <w:rPr>
          <w:rFonts w:hint="default" w:ascii="Times New Roman" w:hAnsi="Times New Roman" w:eastAsia="仿宋_GB2312" w:cs="Times New Roman"/>
          <w:sz w:val="32"/>
          <w:szCs w:val="32"/>
          <w:lang w:val="en-US" w:eastAsia="zh-CN"/>
        </w:rPr>
        <w:t>现答复如下：</w:t>
      </w:r>
    </w:p>
    <w:p w14:paraId="42CF71D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一、我市行政机关负责人出庭应诉工作基本情况</w:t>
      </w:r>
    </w:p>
    <w:p w14:paraId="4CE75DC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机关负责人出庭应诉，是推进依法行政、建设法治政府的重要环节，对于实质性化解行政争议、维护和保障人民群众合法权益、及时发现并纠正行政执法活动中存在的问题、增强领导干部法治思维和依法办事能力具有不可替代的作用。我市始终将行政应诉工作摆在突出位置，积极完善工作机制，强化府院联动，加大监督力度，有效提升了负责人出庭率和行政争议实质性化解水平。</w:t>
      </w:r>
    </w:p>
    <w:p w14:paraId="30BDCBB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国标楷体" w:hAnsi="国标楷体" w:eastAsia="国标楷体" w:cs="国标楷体"/>
          <w:sz w:val="32"/>
          <w:szCs w:val="32"/>
          <w:lang w:val="en-US" w:eastAsia="zh-CN"/>
        </w:rPr>
        <w:t>（一）严格落实国家及省级规定。</w:t>
      </w:r>
      <w:r>
        <w:rPr>
          <w:rFonts w:hint="default" w:ascii="Times New Roman" w:hAnsi="Times New Roman" w:eastAsia="仿宋_GB2312" w:cs="Times New Roman"/>
          <w:sz w:val="32"/>
          <w:szCs w:val="32"/>
          <w:lang w:val="en-US" w:eastAsia="zh-CN"/>
        </w:rPr>
        <w:t>我市坚决贯彻国务院办公厅《关于加强和改进行政应诉工作的意见》（国办发〔2016〕54号）关于“被诉行政机关负责人要带头履行行政应诉职责，积极出庭应诉”的要求，以及《河南省行政机关负责人出庭应诉工作规定》（豫政办〔2021〕53号）的各项部署，将行政机关负责人出庭应诉情况作为法治政府建设考核评价的关键指标。</w:t>
      </w:r>
    </w:p>
    <w:p w14:paraId="274F1F9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国标楷体" w:hAnsi="国标楷体" w:eastAsia="国标楷体" w:cs="国标楷体"/>
          <w:sz w:val="32"/>
          <w:szCs w:val="32"/>
          <w:lang w:val="en-US" w:eastAsia="zh-CN"/>
        </w:rPr>
        <w:t>（二）健全完善市级工作制度体系。</w:t>
      </w:r>
      <w:r>
        <w:rPr>
          <w:rFonts w:hint="default" w:ascii="Times New Roman" w:hAnsi="Times New Roman" w:eastAsia="仿宋_GB2312" w:cs="Times New Roman"/>
          <w:sz w:val="32"/>
          <w:szCs w:val="32"/>
          <w:lang w:val="en-US" w:eastAsia="zh-CN"/>
        </w:rPr>
        <w:t>为细化落实上级要求，我市先后制定出台了《三门峡市行政机关负责人出庭应诉工作规定》（三政办〔2015〕50号）、《关于加强行政复议应诉工作提升依法行政能力的意见》（三政办〔2020〕5号）等文件。这些制度明确了行政机关负责人应当出庭应诉的具体情形，规范了出庭应诉的工作流程，并对负责人庭前准备、庭审表现及庭后反馈等环节提出了具体、可操作的要求。</w:t>
      </w:r>
    </w:p>
    <w:p w14:paraId="4CCE914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国标楷体" w:hAnsi="国标楷体" w:eastAsia="国标楷体" w:cs="国标楷体"/>
          <w:sz w:val="32"/>
          <w:szCs w:val="32"/>
          <w:lang w:val="en-US" w:eastAsia="zh-CN"/>
        </w:rPr>
        <w:t>（三）强化督导考核。</w:t>
      </w:r>
      <w:r>
        <w:rPr>
          <w:rFonts w:hint="default" w:ascii="Times New Roman" w:hAnsi="Times New Roman" w:eastAsia="仿宋_GB2312" w:cs="Times New Roman"/>
          <w:sz w:val="32"/>
          <w:szCs w:val="32"/>
          <w:lang w:val="en-US" w:eastAsia="zh-CN"/>
        </w:rPr>
        <w:t>我市将行政机关履行诉讼义务情况、负责人出庭应诉率等核心指标，纳入各级政府及部门法治政府建设考核评价体系，并作为法治政府建设督察工作的重点内容。建立定期通报机制，对各县级人民政府和市政府各组成部门的行政负责人出庭应诉情况进行汇总分析并通报。严格责任追究，对应出庭不出庭、以及“出庭不出声”、消极应付等情形，视情节轻重采取批评教育、责令整改、约谈提醒等措施；对情节严重或造成恶劣影响的，依规依纪依法追究相关责任人的责任，确保制度执行不打折扣。</w:t>
      </w:r>
    </w:p>
    <w:p w14:paraId="07ED349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国标楷体" w:hAnsi="国标楷体" w:eastAsia="国标楷体" w:cs="国标楷体"/>
          <w:sz w:val="32"/>
          <w:szCs w:val="32"/>
          <w:lang w:val="en-US" w:eastAsia="zh-CN"/>
        </w:rPr>
        <w:t>（四）</w:t>
      </w:r>
      <w:r>
        <w:rPr>
          <w:rFonts w:hint="eastAsia" w:ascii="国标楷体" w:hAnsi="国标楷体" w:eastAsia="国标楷体" w:cs="国标楷体"/>
          <w:sz w:val="32"/>
          <w:szCs w:val="32"/>
          <w:lang w:val="en-US" w:eastAsia="zh-CN"/>
        </w:rPr>
        <w:t>加强</w:t>
      </w:r>
      <w:r>
        <w:rPr>
          <w:rFonts w:hint="default" w:ascii="国标楷体" w:hAnsi="国标楷体" w:eastAsia="国标楷体" w:cs="国标楷体"/>
          <w:sz w:val="32"/>
          <w:szCs w:val="32"/>
          <w:lang w:val="en-US" w:eastAsia="zh-CN"/>
        </w:rPr>
        <w:t>培训指导。</w:t>
      </w:r>
      <w:r>
        <w:rPr>
          <w:rFonts w:hint="default" w:ascii="Times New Roman" w:hAnsi="Times New Roman" w:eastAsia="仿宋_GB2312" w:cs="Times New Roman"/>
          <w:sz w:val="32"/>
          <w:szCs w:val="32"/>
          <w:lang w:val="en-US" w:eastAsia="zh-CN"/>
        </w:rPr>
        <w:t xml:space="preserve"> 为提升负责人出庭应诉能力，我市于2024年8月组织举办了“行政审判、行政复议、行政执法工作同堂培训”。培训中专门设置“行政机关负责人出庭应诉实务”模块，系统讲解出庭应诉的法律依据、程序要求、庭审技巧、争议化解策略等，并结合典型案例进行剖析演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培训有效提升了我市各级行政机关负责人及应诉人员的专业素养和实战能力。</w:t>
      </w:r>
    </w:p>
    <w:p w14:paraId="1457649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国标楷体" w:hAnsi="国标楷体" w:eastAsia="国标楷体" w:cs="国标楷体"/>
          <w:sz w:val="32"/>
          <w:szCs w:val="32"/>
          <w:lang w:val="en-US" w:eastAsia="zh-CN"/>
        </w:rPr>
        <w:t>（五）深化府院联动协同机制。</w:t>
      </w:r>
      <w:r>
        <w:rPr>
          <w:rFonts w:hint="default" w:ascii="Times New Roman" w:hAnsi="Times New Roman" w:eastAsia="仿宋_GB2312" w:cs="Times New Roman"/>
          <w:sz w:val="32"/>
          <w:szCs w:val="32"/>
          <w:lang w:val="en-US" w:eastAsia="zh-CN"/>
        </w:rPr>
        <w:t>建立常态化的府院联动工作推进协调会制度，行政负责人出庭应诉工作成效、存在问题及改进方向被列为固定议题进行重点汇报和深入研讨。市中级人民法院定期通报行政诉讼案件审理情况、负责人出庭应诉情况及典型案例，为行政机关改进工作提供精准指引。双方就共同推动行政争议源头预防、实质化解达成多项共识，形成工作合力。</w:t>
      </w:r>
    </w:p>
    <w:p w14:paraId="0FA7507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二、下一步提升出庭应诉实效的具体举措</w:t>
      </w:r>
    </w:p>
    <w:p w14:paraId="2B3B1BA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针对提案中指出的行政机关负责人出庭虚化、应诉能力不足、争议化解乏力、监督机制有待强化等问题，我局会同市中级人民法院、市政府办公室进行了认真研究，并于2025年4月28日召开“2025年市府院联动工作协调会”专题部署，会议明确，必须牢牢抓住“出庭出声、出声有效，以负责人实质性履职推动争议实质性化解”这一核心关键。为切实提升我市行政机关负责人出庭应诉工作的实效性，下一步将重点推进以下工作：</w:t>
      </w:r>
    </w:p>
    <w:p w14:paraId="23E27DC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国标楷体" w:hAnsi="国标楷体" w:eastAsia="国标楷体" w:cs="国标楷体"/>
          <w:sz w:val="32"/>
          <w:szCs w:val="32"/>
          <w:lang w:val="en-US" w:eastAsia="zh-CN"/>
        </w:rPr>
        <w:t>（一）严格执行行政机关负责人出庭工作制度。</w:t>
      </w:r>
      <w:r>
        <w:rPr>
          <w:rFonts w:hint="eastAsia" w:ascii="Times New Roman" w:hAnsi="Times New Roman" w:eastAsia="仿宋_GB2312" w:cs="Times New Roman"/>
          <w:sz w:val="32"/>
          <w:szCs w:val="32"/>
          <w:lang w:val="en-US" w:eastAsia="zh-CN"/>
        </w:rPr>
        <w:t>坚持“应出尽出”原则，研究细化并适度扩大负责人必须出庭的案件范围，确保在更多案件中群众能“见到官”。要求出庭负责人必须是对案件情况有深入了解、具备相应决策权限的领导干部，全面研判案情，主动回应原告诉求，积极化解矛盾，坚决杜绝“出庭不出声”、“走过场”现象。定期汇总分析评价行政机关负责人出庭应诉表现，作为考核和改进工作的重要依据，倒逼负责人提升应诉责任感和实效性。</w:t>
      </w:r>
    </w:p>
    <w:p w14:paraId="658DE56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国标楷体" w:hAnsi="国标楷体" w:eastAsia="国标楷体" w:cs="国标楷体"/>
          <w:sz w:val="32"/>
          <w:szCs w:val="32"/>
          <w:lang w:val="en-US" w:eastAsia="zh-CN"/>
        </w:rPr>
        <w:t>（二）持续提升应诉专业化水平。</w:t>
      </w:r>
      <w:r>
        <w:rPr>
          <w:rFonts w:hint="eastAsia" w:ascii="Times New Roman" w:hAnsi="Times New Roman" w:eastAsia="仿宋_GB2312" w:cs="Times New Roman"/>
          <w:sz w:val="32"/>
          <w:szCs w:val="32"/>
          <w:lang w:val="en-US" w:eastAsia="zh-CN"/>
        </w:rPr>
        <w:t>联合市中级人民法院，开展常态化专题培训，常态化组织行政机关负责人、法制机构人员、执法骨干等到法院观摩典型行政诉讼案件庭审，提高各级行政机关答辩举证、出庭应诉、履行法院生效裁判等工作水平。</w:t>
      </w:r>
    </w:p>
    <w:p w14:paraId="6232690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国标楷体" w:hAnsi="国标楷体" w:eastAsia="国标楷体" w:cs="国标楷体"/>
          <w:sz w:val="32"/>
          <w:szCs w:val="32"/>
          <w:lang w:val="en-US" w:eastAsia="zh-CN"/>
        </w:rPr>
        <w:t>（三）强化考核监督与结果运用。</w:t>
      </w:r>
      <w:r>
        <w:rPr>
          <w:rFonts w:hint="eastAsia" w:ascii="Times New Roman" w:hAnsi="Times New Roman" w:eastAsia="仿宋_GB2312" w:cs="Times New Roman"/>
          <w:sz w:val="32"/>
          <w:szCs w:val="32"/>
          <w:lang w:val="en-US" w:eastAsia="zh-CN"/>
        </w:rPr>
        <w:t>在法治政府考核体系中，提高行政机关负责人出庭应诉指标权重。对无正当理由未按规定出庭应诉的负责人及其所在单位，扣减依法行政考核得分。对负责人出庭应诉工作中出现的未出庭、出庭未发言、有能力化解而未积极作为等违法失职行为，综合运用通报批评、约谈主要负责人、发出督查整改通知书、建议组织处理或纪律处分、移送纪检监察机关等多种监督问责手段，形成有力震慑。</w:t>
      </w:r>
    </w:p>
    <w:p w14:paraId="67768A2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我市将以落实本提案为契机，持续深化行政机关负责人出庭应诉工作，着力解决“出庭不出声”、“应诉不应战”等问题，切实发挥负责人出庭在查明事实、化解矛盾、提升依法行政水平中的关键作用，努力推动行政争议得到实质性化解，不断提升人民群众的法治获得感和满意度。</w:t>
      </w:r>
    </w:p>
    <w:p w14:paraId="6970403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衷心感谢贵委对我市法治政府建设工作的关心和支持！</w:t>
      </w:r>
    </w:p>
    <w:p w14:paraId="735EE92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p>
    <w:p w14:paraId="1E78F0B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6F409E8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 xml:space="preserve">                     2025年5月</w:t>
      </w:r>
      <w:bookmarkStart w:id="0" w:name="_GoBack"/>
      <w:bookmarkEnd w:id="0"/>
      <w:r>
        <w:rPr>
          <w:rFonts w:hint="eastAsia" w:ascii="Times New Roman" w:hAnsi="Times New Roman" w:eastAsia="仿宋_GB2312" w:cs="Times New Roman"/>
          <w:sz w:val="32"/>
          <w:szCs w:val="32"/>
          <w:lang w:val="en-US" w:eastAsia="zh-CN"/>
        </w:rPr>
        <w:t>29日</w:t>
      </w:r>
    </w:p>
    <w:sectPr>
      <w:footerReference r:id="rId3" w:type="default"/>
      <w:pgSz w:w="11906" w:h="16838"/>
      <w:pgMar w:top="1701" w:right="1474" w:bottom="158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F66733-4C59-4E20-9CF6-6AB72E2EE65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0C22C235-506D-454E-9AAF-CAD706A1719A}"/>
  </w:font>
  <w:font w:name="仿宋_GB2312">
    <w:panose1 w:val="02010609030101010101"/>
    <w:charset w:val="86"/>
    <w:family w:val="auto"/>
    <w:pitch w:val="default"/>
    <w:sig w:usb0="00000001" w:usb1="080E0000" w:usb2="00000000" w:usb3="00000000" w:csb0="00040000" w:csb1="00000000"/>
    <w:embedRegular r:id="rId3" w:fontKey="{16DE2C2E-1A17-4A77-8615-8DD35EF6CDCA}"/>
  </w:font>
  <w:font w:name="国标黑体">
    <w:altName w:val="黑体"/>
    <w:panose1 w:val="02000500000000000000"/>
    <w:charset w:val="86"/>
    <w:family w:val="auto"/>
    <w:pitch w:val="default"/>
    <w:sig w:usb0="00000000" w:usb1="00000000" w:usb2="00000000" w:usb3="00000000" w:csb0="00040000" w:csb1="00000000"/>
    <w:embedRegular r:id="rId4" w:fontKey="{6B412434-85CA-4D0F-BF1B-4A55D1DC8558}"/>
  </w:font>
  <w:font w:name="国标楷体">
    <w:altName w:val="楷体_GB2312"/>
    <w:panose1 w:val="02000500000000000000"/>
    <w:charset w:val="86"/>
    <w:family w:val="auto"/>
    <w:pitch w:val="default"/>
    <w:sig w:usb0="00000000" w:usb1="00000000" w:usb2="00000000" w:usb3="00000000" w:csb0="00040000" w:csb1="00000000"/>
    <w:embedRegular r:id="rId5" w:fontKey="{016762E4-1BE1-4179-BA97-C2079608CED9}"/>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7D32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986417F">
                          <w:pPr>
                            <w:pStyle w:val="2"/>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6986417F">
                    <w:pPr>
                      <w:pStyle w:val="2"/>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DC4BC"/>
    <w:rsid w:val="17DF502D"/>
    <w:rsid w:val="2DBF12ED"/>
    <w:rsid w:val="337E9DA0"/>
    <w:rsid w:val="35FE3053"/>
    <w:rsid w:val="5B4759D7"/>
    <w:rsid w:val="76B358E0"/>
    <w:rsid w:val="7E7DC4BC"/>
    <w:rsid w:val="AD1FE6C0"/>
    <w:rsid w:val="B66D98AD"/>
    <w:rsid w:val="D67DB5FF"/>
    <w:rsid w:val="DF796C33"/>
    <w:rsid w:val="DFF706E0"/>
    <w:rsid w:val="E6DDAF07"/>
    <w:rsid w:val="F7BFE654"/>
    <w:rsid w:val="FB7BB3E6"/>
    <w:rsid w:val="FBFF0676"/>
    <w:rsid w:val="FDF37E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2081</Words>
  <Characters>2109</Characters>
  <Lines>0</Lines>
  <Paragraphs>0</Paragraphs>
  <TotalTime>25</TotalTime>
  <ScaleCrop>false</ScaleCrop>
  <LinksUpToDate>false</LinksUpToDate>
  <CharactersWithSpaces>2136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2025-05-16T06:19:00Z</dcterms:created>
  <dc:creator>武藤真吾</dc:creator>
  <cp:lastModifiedBy>lenovo</cp:lastModifiedBy>
  <dcterms:modified xsi:type="dcterms:W3CDTF">2025-05-30T01:36:04Z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eyJoZGlkIjoiNTM0MjQyNGI0YWUwYzgzNGU0NDE4MGM2NDI0ZTk0MTIifQ==</vt:lpwstr>
  </property>
  <property fmtid="{D5CDD505-2E9C-101B-9397-08002B2CF9AE}" pid="4" name="ICV">
    <vt:lpwstr>D948327CC05317ECA8D2366806327384_43</vt:lpwstr>
  </property>
</Properties>
</file>